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宋体" w:hAnsi="宋体" w:eastAsia="宋体" w:cs="宋体"/>
          <w:b/>
          <w:sz w:val="32"/>
          <w:szCs w:val="32"/>
        </w:rPr>
      </w:pPr>
      <w:bookmarkStart w:id="26" w:name="_GoBack"/>
      <w:bookmarkEnd w:id="26"/>
      <w:r>
        <w:rPr>
          <w:rFonts w:hint="eastAsia" w:ascii="宋体" w:hAnsi="宋体" w:eastAsia="宋体" w:cs="宋体"/>
          <w:b/>
          <w:sz w:val="32"/>
          <w:szCs w:val="32"/>
        </w:rPr>
        <w:t>广东江门中医药职业学院中药学专业人才培养方案</w:t>
      </w:r>
    </w:p>
    <w:p>
      <w:pPr>
        <w:snapToGrid w:val="0"/>
        <w:spacing w:line="360" w:lineRule="auto"/>
        <w:ind w:firstLine="482" w:firstLineChars="200"/>
        <w:rPr>
          <w:rFonts w:ascii="宋体" w:hAnsi="宋体" w:eastAsia="宋体" w:cs="宋体"/>
          <w:b/>
          <w:sz w:val="24"/>
        </w:rPr>
      </w:pPr>
    </w:p>
    <w:p>
      <w:pPr>
        <w:snapToGrid w:val="0"/>
        <w:spacing w:line="360" w:lineRule="auto"/>
        <w:rPr>
          <w:rFonts w:ascii="宋体" w:hAnsi="宋体" w:eastAsia="宋体" w:cs="宋体"/>
          <w:b/>
          <w:sz w:val="24"/>
        </w:rPr>
      </w:pPr>
      <w:r>
        <w:rPr>
          <w:rFonts w:hint="eastAsia" w:ascii="宋体" w:hAnsi="宋体" w:eastAsia="宋体" w:cs="宋体"/>
          <w:b/>
          <w:sz w:val="24"/>
        </w:rPr>
        <w:t>一、专业名称及代码</w:t>
      </w:r>
    </w:p>
    <w:p>
      <w:pPr>
        <w:spacing w:line="360" w:lineRule="auto"/>
        <w:ind w:firstLine="480" w:firstLineChars="200"/>
        <w:rPr>
          <w:rFonts w:ascii="宋体" w:hAnsi="宋体" w:eastAsia="宋体" w:cs="宋体"/>
          <w:sz w:val="24"/>
        </w:rPr>
      </w:pPr>
      <w:r>
        <w:rPr>
          <w:rFonts w:hint="eastAsia" w:ascii="宋体" w:hAnsi="宋体" w:eastAsia="宋体" w:cs="宋体"/>
          <w:sz w:val="24"/>
        </w:rPr>
        <w:t>（一）专业名称  中药学</w:t>
      </w:r>
    </w:p>
    <w:p>
      <w:pPr>
        <w:pStyle w:val="10"/>
        <w:spacing w:line="360" w:lineRule="auto"/>
        <w:ind w:firstLine="480"/>
        <w:rPr>
          <w:rFonts w:ascii="宋体" w:hAnsi="宋体" w:eastAsia="宋体" w:cs="宋体"/>
          <w:sz w:val="24"/>
        </w:rPr>
      </w:pPr>
      <w:r>
        <w:rPr>
          <w:rFonts w:hint="eastAsia" w:ascii="宋体" w:hAnsi="宋体" w:eastAsia="宋体" w:cs="宋体"/>
          <w:sz w:val="24"/>
        </w:rPr>
        <w:t xml:space="preserve">（二）专业代码  </w:t>
      </w:r>
      <w:r>
        <w:rPr>
          <w:rFonts w:hint="eastAsia" w:ascii="宋体" w:hAnsi="宋体" w:eastAsia="宋体" w:cs="宋体"/>
          <w:kern w:val="0"/>
          <w:sz w:val="24"/>
        </w:rPr>
        <w:t>520410</w:t>
      </w:r>
    </w:p>
    <w:p>
      <w:pPr>
        <w:snapToGrid w:val="0"/>
        <w:spacing w:line="360" w:lineRule="auto"/>
        <w:rPr>
          <w:rFonts w:ascii="宋体" w:hAnsi="宋体" w:eastAsia="宋体" w:cs="宋体"/>
          <w:b/>
          <w:sz w:val="24"/>
        </w:rPr>
      </w:pPr>
      <w:r>
        <w:rPr>
          <w:rFonts w:hint="eastAsia" w:ascii="宋体" w:hAnsi="宋体" w:eastAsia="宋体" w:cs="宋体"/>
          <w:b/>
          <w:sz w:val="24"/>
        </w:rPr>
        <w:t>二、入学要求</w:t>
      </w:r>
    </w:p>
    <w:p>
      <w:pPr>
        <w:spacing w:line="360" w:lineRule="auto"/>
        <w:ind w:firstLine="480" w:firstLineChars="200"/>
        <w:rPr>
          <w:rFonts w:ascii="宋体" w:hAnsi="宋体" w:eastAsia="宋体" w:cs="宋体"/>
          <w:color w:val="000000"/>
          <w:sz w:val="24"/>
        </w:rPr>
      </w:pPr>
      <w:r>
        <w:rPr>
          <w:rFonts w:hint="eastAsia" w:ascii="宋体" w:hAnsi="宋体" w:eastAsia="宋体" w:cs="宋体"/>
          <w:sz w:val="24"/>
        </w:rPr>
        <w:t>普通高中毕业生/中等职业学校毕业生</w:t>
      </w:r>
    </w:p>
    <w:p>
      <w:pPr>
        <w:snapToGrid w:val="0"/>
        <w:spacing w:line="360" w:lineRule="auto"/>
        <w:rPr>
          <w:rFonts w:ascii="宋体" w:hAnsi="宋体" w:eastAsia="宋体" w:cs="宋体"/>
          <w:b/>
          <w:sz w:val="24"/>
        </w:rPr>
      </w:pPr>
      <w:r>
        <w:rPr>
          <w:rFonts w:hint="eastAsia" w:ascii="宋体" w:hAnsi="宋体" w:eastAsia="宋体" w:cs="宋体"/>
          <w:b/>
          <w:sz w:val="24"/>
        </w:rPr>
        <w:t>三、修业年限</w:t>
      </w:r>
    </w:p>
    <w:p>
      <w:pPr>
        <w:spacing w:line="360" w:lineRule="auto"/>
        <w:ind w:firstLine="480" w:firstLineChars="200"/>
        <w:rPr>
          <w:rFonts w:ascii="宋体" w:hAnsi="宋体" w:eastAsia="宋体" w:cs="宋体"/>
          <w:sz w:val="24"/>
        </w:rPr>
      </w:pPr>
      <w:r>
        <w:rPr>
          <w:rFonts w:hint="eastAsia" w:ascii="宋体" w:hAnsi="宋体" w:eastAsia="宋体" w:cs="宋体"/>
          <w:sz w:val="24"/>
        </w:rPr>
        <w:t>全日制3年</w:t>
      </w:r>
    </w:p>
    <w:p>
      <w:pPr>
        <w:snapToGrid w:val="0"/>
        <w:spacing w:line="360" w:lineRule="auto"/>
        <w:rPr>
          <w:rFonts w:ascii="宋体" w:hAnsi="宋体" w:eastAsia="宋体" w:cs="宋体"/>
          <w:b/>
          <w:sz w:val="24"/>
        </w:rPr>
      </w:pPr>
      <w:r>
        <w:rPr>
          <w:rFonts w:hint="eastAsia" w:ascii="宋体" w:hAnsi="宋体" w:eastAsia="宋体" w:cs="宋体"/>
          <w:b/>
          <w:sz w:val="24"/>
        </w:rPr>
        <w:t>四、就业面向</w:t>
      </w:r>
    </w:p>
    <w:p>
      <w:pPr>
        <w:spacing w:line="360" w:lineRule="auto"/>
        <w:jc w:val="center"/>
        <w:rPr>
          <w:rFonts w:ascii="宋体" w:hAnsi="宋体" w:eastAsia="宋体" w:cs="宋体"/>
          <w:b/>
          <w:sz w:val="24"/>
        </w:rPr>
      </w:pPr>
      <w:r>
        <w:rPr>
          <w:rFonts w:hint="eastAsia" w:ascii="宋体" w:hAnsi="宋体" w:eastAsia="宋体" w:cs="宋体"/>
          <w:b/>
          <w:sz w:val="24"/>
        </w:rPr>
        <w:t>表1中药学专业就业方向</w:t>
      </w:r>
    </w:p>
    <w:tbl>
      <w:tblPr>
        <w:tblStyle w:val="8"/>
        <w:tblpPr w:leftFromText="180" w:rightFromText="180" w:vertAnchor="text" w:horzAnchor="page" w:tblpX="1939" w:tblpY="94"/>
        <w:tblOverlap w:val="never"/>
        <w:tblW w:w="9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7"/>
        <w:gridCol w:w="2575"/>
        <w:gridCol w:w="3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就业岗位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主要工作任务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中药材生产岗位</w:t>
            </w:r>
          </w:p>
          <w:p>
            <w:pPr>
              <w:jc w:val="center"/>
            </w:pPr>
            <w:r>
              <w:rPr>
                <w:rFonts w:hint="eastAsia"/>
              </w:rPr>
              <w:t>中药制药岗位</w:t>
            </w:r>
          </w:p>
          <w:p>
            <w:pPr>
              <w:jc w:val="center"/>
            </w:pPr>
            <w:r>
              <w:rPr>
                <w:rFonts w:hint="eastAsia"/>
              </w:rPr>
              <w:t>中药质检岗位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中药生产与加工</w:t>
            </w:r>
          </w:p>
          <w:p>
            <w:pPr>
              <w:jc w:val="center"/>
            </w:pPr>
            <w:r>
              <w:rPr>
                <w:rFonts w:hint="eastAsia"/>
              </w:rPr>
              <w:t>中药制药</w:t>
            </w:r>
          </w:p>
          <w:p>
            <w:pPr>
              <w:jc w:val="center"/>
            </w:pPr>
            <w:r>
              <w:rPr>
                <w:rFonts w:hint="eastAsia"/>
              </w:rPr>
              <w:t>中药质量检验和控制</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中药炮制工</w:t>
            </w:r>
          </w:p>
          <w:p>
            <w:pPr>
              <w:jc w:val="center"/>
            </w:pPr>
            <w:r>
              <w:rPr>
                <w:rFonts w:hint="eastAsia"/>
              </w:rPr>
              <w:t>药物制剂工</w:t>
            </w:r>
          </w:p>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中药购销岗位</w:t>
            </w:r>
          </w:p>
          <w:p>
            <w:pPr>
              <w:jc w:val="center"/>
            </w:pPr>
            <w:r>
              <w:rPr>
                <w:rFonts w:hint="eastAsia"/>
              </w:rPr>
              <w:t>中药调剂岗位</w:t>
            </w:r>
          </w:p>
          <w:p>
            <w:pPr>
              <w:jc w:val="center"/>
            </w:pPr>
            <w:r>
              <w:rPr>
                <w:rFonts w:hint="eastAsia"/>
              </w:rPr>
              <w:t>中药咨询与服务岗位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中药采购与经营</w:t>
            </w:r>
          </w:p>
          <w:p>
            <w:pPr>
              <w:jc w:val="center"/>
            </w:pPr>
            <w:r>
              <w:rPr>
                <w:rFonts w:hint="eastAsia"/>
              </w:rPr>
              <w:t>中药调剂</w:t>
            </w:r>
          </w:p>
          <w:p>
            <w:pPr>
              <w:jc w:val="center"/>
            </w:pPr>
            <w:r>
              <w:rPr>
                <w:rFonts w:hint="eastAsia"/>
              </w:rPr>
              <w:t>药品仓库管理</w:t>
            </w:r>
          </w:p>
          <w:p>
            <w:pPr>
              <w:jc w:val="center"/>
            </w:pPr>
            <w:r>
              <w:rPr>
                <w:rFonts w:hint="eastAsia"/>
              </w:rPr>
              <w:t>中药咨询与服务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门店零售岗位</w:t>
            </w:r>
          </w:p>
          <w:p>
            <w:pPr>
              <w:jc w:val="center"/>
            </w:pPr>
            <w:r>
              <w:rPr>
                <w:rFonts w:hint="eastAsia"/>
              </w:rPr>
              <w:t>门店管理岗位</w:t>
            </w:r>
          </w:p>
          <w:p>
            <w:pPr>
              <w:jc w:val="center"/>
            </w:pPr>
            <w:r>
              <w:rPr>
                <w:rFonts w:hint="eastAsia"/>
              </w:rPr>
              <w:t>中药采购岗位</w:t>
            </w:r>
          </w:p>
          <w:p>
            <w:pPr>
              <w:jc w:val="center"/>
            </w:pPr>
            <w:r>
              <w:rPr>
                <w:rFonts w:hint="eastAsia"/>
              </w:rPr>
              <w:t>仓库储存与养护岗位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中药品采购</w:t>
            </w:r>
          </w:p>
          <w:p>
            <w:pPr>
              <w:jc w:val="center"/>
            </w:pPr>
            <w:r>
              <w:rPr>
                <w:rFonts w:hint="eastAsia"/>
              </w:rPr>
              <w:t>中药营销</w:t>
            </w:r>
          </w:p>
          <w:p>
            <w:pPr>
              <w:jc w:val="center"/>
            </w:pPr>
            <w:r>
              <w:rPr>
                <w:rFonts w:hint="eastAsia"/>
              </w:rPr>
              <w:t>中药储存与养护</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bl>
    <w:p>
      <w:pPr>
        <w:snapToGrid w:val="0"/>
        <w:spacing w:line="360" w:lineRule="auto"/>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ind w:firstLine="482" w:firstLineChars="200"/>
        <w:rPr>
          <w:rFonts w:ascii="宋体" w:hAnsi="宋体" w:eastAsia="宋体" w:cs="宋体"/>
          <w:b/>
          <w:sz w:val="24"/>
        </w:rPr>
      </w:pPr>
    </w:p>
    <w:p>
      <w:pPr>
        <w:snapToGrid w:val="0"/>
        <w:spacing w:line="360" w:lineRule="auto"/>
        <w:rPr>
          <w:rFonts w:ascii="宋体" w:hAnsi="宋体" w:eastAsia="宋体" w:cs="宋体"/>
          <w:b/>
          <w:sz w:val="24"/>
        </w:rPr>
      </w:pPr>
      <w:r>
        <w:rPr>
          <w:rFonts w:hint="eastAsia" w:ascii="宋体" w:hAnsi="宋体" w:eastAsia="宋体" w:cs="宋体"/>
          <w:b/>
          <w:sz w:val="24"/>
        </w:rPr>
        <w:t>五、培养目标与培养规格</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（一）培养目标</w:t>
      </w:r>
    </w:p>
    <w:p>
      <w:pPr>
        <w:spacing w:line="360" w:lineRule="auto"/>
        <w:ind w:left="138" w:firstLine="480" w:firstLineChars="200"/>
        <w:rPr>
          <w:rFonts w:ascii="宋体" w:hAnsi="宋体" w:eastAsia="宋体" w:cs="宋体"/>
          <w:sz w:val="24"/>
        </w:rPr>
      </w:pPr>
      <w:r>
        <w:rPr>
          <w:rFonts w:hint="eastAsia" w:ascii="宋体" w:hAnsi="宋体" w:eastAsia="宋体" w:cs="宋体"/>
          <w:sz w:val="24"/>
        </w:rPr>
        <w:t>培养德、智、体、美、劳全面发展，具有良好的职业道德、职业技能、人文素养、科学素养、实践能力和创新精神，掌握中药专业的基本理论和操作技能，能从事中药质量的鉴定、中药的生产加工、中药营销、临床药物应用和药品监督管理工作的</w:t>
      </w:r>
      <w:r>
        <w:rPr>
          <w:rFonts w:hint="eastAsia" w:ascii="宋体" w:hAnsi="宋体" w:eastAsia="宋体" w:cs="宋体"/>
          <w:bCs/>
          <w:sz w:val="24"/>
        </w:rPr>
        <w:t>高素质技能型专业人才</w:t>
      </w:r>
      <w:r>
        <w:rPr>
          <w:rFonts w:hint="eastAsia" w:ascii="宋体" w:hAnsi="宋体" w:eastAsia="宋体" w:cs="宋体"/>
          <w:sz w:val="24"/>
        </w:rPr>
        <w:t>。</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（二）培养规格</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1.素质</w:t>
      </w:r>
    </w:p>
    <w:p>
      <w:pPr>
        <w:spacing w:line="360" w:lineRule="auto"/>
        <w:ind w:firstLine="480" w:firstLineChars="200"/>
        <w:rPr>
          <w:rFonts w:ascii="宋体" w:hAnsi="宋体" w:eastAsia="宋体" w:cs="宋体"/>
          <w:sz w:val="24"/>
        </w:rPr>
      </w:pPr>
      <w:r>
        <w:rPr>
          <w:rFonts w:hint="eastAsia" w:ascii="宋体" w:hAnsi="宋体" w:eastAsia="宋体" w:cs="宋体"/>
          <w:sz w:val="24"/>
        </w:rPr>
        <w:t>（1）具有正确的世界观、价值观和人生观，有理想、有道德、有文化、有纪律，具有诚信品质、敬业精神和责任意识；</w:t>
      </w:r>
    </w:p>
    <w:p>
      <w:pPr>
        <w:spacing w:line="360" w:lineRule="auto"/>
        <w:ind w:firstLine="480" w:firstLineChars="200"/>
        <w:rPr>
          <w:rFonts w:ascii="宋体" w:hAnsi="宋体" w:eastAsia="宋体" w:cs="宋体"/>
          <w:sz w:val="24"/>
        </w:rPr>
      </w:pPr>
      <w:r>
        <w:rPr>
          <w:rFonts w:hint="eastAsia" w:ascii="宋体" w:hAnsi="宋体" w:eastAsia="宋体" w:cs="宋体"/>
          <w:sz w:val="24"/>
        </w:rPr>
        <w:t>（2）具有良好的职业道德和行为规范，具有药品质量第一观念和药品安全意识，具有实事求是的作风和科学严谨的工作态度；</w:t>
      </w:r>
    </w:p>
    <w:p>
      <w:pPr>
        <w:spacing w:line="360" w:lineRule="auto"/>
        <w:ind w:firstLine="480" w:firstLineChars="200"/>
        <w:rPr>
          <w:rFonts w:ascii="宋体" w:hAnsi="宋体" w:eastAsia="宋体" w:cs="宋体"/>
          <w:sz w:val="24"/>
        </w:rPr>
      </w:pPr>
      <w:r>
        <w:rPr>
          <w:rFonts w:hint="eastAsia" w:ascii="宋体" w:hAnsi="宋体" w:eastAsia="宋体" w:cs="宋体"/>
          <w:sz w:val="24"/>
        </w:rPr>
        <w:t>（3）具有法制观念和依法执业意识；</w:t>
      </w:r>
    </w:p>
    <w:p>
      <w:pPr>
        <w:spacing w:line="360" w:lineRule="auto"/>
        <w:ind w:firstLine="480" w:firstLineChars="200"/>
        <w:rPr>
          <w:rFonts w:ascii="宋体" w:hAnsi="宋体" w:eastAsia="宋体" w:cs="宋体"/>
          <w:sz w:val="24"/>
        </w:rPr>
      </w:pPr>
      <w:r>
        <w:rPr>
          <w:rFonts w:hint="eastAsia" w:ascii="宋体" w:hAnsi="宋体" w:eastAsia="宋体" w:cs="宋体"/>
          <w:sz w:val="24"/>
        </w:rPr>
        <w:t>（4）具有健康的体魄和良好的心理素质；</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（5）具有创新意识、人际沟通与团队合作的能力； </w:t>
      </w:r>
    </w:p>
    <w:p>
      <w:pPr>
        <w:spacing w:line="360" w:lineRule="auto"/>
        <w:ind w:firstLine="480" w:firstLineChars="200"/>
        <w:rPr>
          <w:rFonts w:ascii="宋体" w:hAnsi="宋体" w:eastAsia="宋体" w:cs="宋体"/>
          <w:sz w:val="24"/>
        </w:rPr>
      </w:pPr>
      <w:r>
        <w:rPr>
          <w:rFonts w:hint="eastAsia" w:ascii="宋体" w:hAnsi="宋体" w:eastAsia="宋体" w:cs="宋体"/>
          <w:sz w:val="24"/>
        </w:rPr>
        <w:t>（6）注重职业意识的养教育，明白自己应该具备的职业素质。</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2.知识</w:t>
      </w:r>
    </w:p>
    <w:p>
      <w:pPr>
        <w:kinsoku w:val="0"/>
        <w:overflowPunct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（1）掌握必备的中医药基础知识和医药商品知识；</w:t>
      </w:r>
    </w:p>
    <w:p>
      <w:pPr>
        <w:widowControl/>
        <w:shd w:val="clear" w:color="auto" w:fill="FFFFFF"/>
        <w:spacing w:line="360" w:lineRule="auto"/>
        <w:ind w:firstLine="480" w:firstLineChars="200"/>
        <w:rPr>
          <w:rFonts w:ascii="宋体" w:hAnsi="宋体" w:eastAsia="宋体" w:cs="宋体"/>
          <w:sz w:val="24"/>
        </w:rPr>
      </w:pPr>
      <w:r>
        <w:rPr>
          <w:rFonts w:hint="eastAsia" w:ascii="宋体" w:hAnsi="宋体" w:eastAsia="宋体" w:cs="宋体"/>
          <w:sz w:val="24"/>
        </w:rPr>
        <w:t>（2）熟悉国家药品管理法律法规，具有明确的药品质量意识；</w:t>
      </w:r>
    </w:p>
    <w:p>
      <w:pPr>
        <w:kinsoku w:val="0"/>
        <w:overflowPunct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（3）掌握职业发展必需的中药学专业知识，包括中药鉴定技术、中药炮制技术、中药药剂学、中药制剂检测技术、中药储存与养护技术、中药化学、药用植物学等方面的基本理论知识和实践操作技能。</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3.能力</w:t>
      </w:r>
    </w:p>
    <w:p>
      <w:pPr>
        <w:spacing w:line="360" w:lineRule="auto"/>
        <w:ind w:firstLine="480" w:firstLineChars="200"/>
        <w:rPr>
          <w:rFonts w:ascii="宋体" w:hAnsi="宋体" w:eastAsia="宋体" w:cs="宋体"/>
          <w:sz w:val="24"/>
        </w:rPr>
      </w:pPr>
      <w:r>
        <w:rPr>
          <w:rFonts w:hint="eastAsia" w:ascii="宋体" w:hAnsi="宋体" w:eastAsia="宋体" w:cs="宋体"/>
          <w:sz w:val="24"/>
        </w:rPr>
        <w:t>（1）具有独立从事处方调配的能力；</w:t>
      </w:r>
    </w:p>
    <w:p>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kern w:val="0"/>
          <w:sz w:val="24"/>
        </w:rPr>
        <w:t>具有运用中药性状鉴定技术知识鉴别常用中药真伪优劣的能力；</w:t>
      </w:r>
    </w:p>
    <w:p>
      <w:pPr>
        <w:spacing w:line="360" w:lineRule="auto"/>
        <w:ind w:firstLine="480" w:firstLineChars="200"/>
        <w:rPr>
          <w:rFonts w:ascii="宋体" w:hAnsi="宋体" w:eastAsia="宋体" w:cs="宋体"/>
          <w:sz w:val="24"/>
        </w:rPr>
      </w:pPr>
      <w:r>
        <w:rPr>
          <w:rFonts w:hint="eastAsia" w:ascii="宋体" w:hAnsi="宋体" w:eastAsia="宋体" w:cs="宋体"/>
          <w:sz w:val="24"/>
        </w:rPr>
        <w:t>（3）</w:t>
      </w:r>
      <w:r>
        <w:rPr>
          <w:rFonts w:hint="eastAsia" w:ascii="宋体" w:hAnsi="宋体" w:eastAsia="宋体" w:cs="宋体"/>
          <w:kern w:val="0"/>
          <w:sz w:val="24"/>
        </w:rPr>
        <w:t>具有一定的</w:t>
      </w:r>
      <w:r>
        <w:rPr>
          <w:rFonts w:hint="eastAsia" w:ascii="宋体" w:hAnsi="宋体" w:eastAsia="宋体" w:cs="宋体"/>
          <w:sz w:val="24"/>
        </w:rPr>
        <w:t>药品营销能力和指导临床合理用药的能力；</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（4）</w:t>
      </w:r>
      <w:r>
        <w:rPr>
          <w:rFonts w:hint="eastAsia" w:ascii="宋体" w:hAnsi="宋体" w:eastAsia="宋体" w:cs="宋体"/>
          <w:sz w:val="24"/>
        </w:rPr>
        <w:t>具有一定从事中药制剂和中药炮制的能力，</w:t>
      </w:r>
      <w:r>
        <w:rPr>
          <w:rFonts w:hint="eastAsia" w:ascii="宋体" w:hAnsi="宋体" w:eastAsia="宋体" w:cs="宋体"/>
          <w:kern w:val="0"/>
          <w:sz w:val="24"/>
        </w:rPr>
        <w:t>并能探究其炮制原理</w:t>
      </w:r>
      <w:r>
        <w:rPr>
          <w:rFonts w:hint="eastAsia" w:ascii="宋体" w:hAnsi="宋体" w:eastAsia="宋体" w:cs="宋体"/>
          <w:sz w:val="24"/>
        </w:rPr>
        <w:t>；</w:t>
      </w:r>
    </w:p>
    <w:p>
      <w:pPr>
        <w:spacing w:line="360" w:lineRule="auto"/>
        <w:ind w:firstLine="480" w:firstLineChars="200"/>
        <w:rPr>
          <w:rFonts w:ascii="宋体" w:hAnsi="宋体" w:eastAsia="宋体" w:cs="宋体"/>
          <w:sz w:val="24"/>
        </w:rPr>
      </w:pPr>
      <w:r>
        <w:rPr>
          <w:rFonts w:hint="eastAsia" w:ascii="宋体" w:hAnsi="宋体" w:eastAsia="宋体" w:cs="宋体"/>
          <w:sz w:val="24"/>
        </w:rPr>
        <w:t>（5）具有熟练操作和使用常用的中药制剂、中药炮制的设备设施，并能进行简单日常维护的能力；</w:t>
      </w:r>
    </w:p>
    <w:p>
      <w:pPr>
        <w:spacing w:line="360" w:lineRule="auto"/>
        <w:ind w:firstLine="480" w:firstLineChars="200"/>
        <w:rPr>
          <w:rFonts w:ascii="宋体" w:hAnsi="宋体" w:eastAsia="宋体" w:cs="宋体"/>
          <w:sz w:val="24"/>
        </w:rPr>
      </w:pPr>
      <w:r>
        <w:rPr>
          <w:rFonts w:hint="eastAsia" w:ascii="宋体" w:hAnsi="宋体" w:eastAsia="宋体" w:cs="宋体"/>
          <w:sz w:val="24"/>
        </w:rPr>
        <w:t>（6）具备国家《药品管理法》及相关法律法规知识，具有一定的药事管理能力。</w:t>
      </w:r>
    </w:p>
    <w:p>
      <w:pPr>
        <w:widowControl/>
        <w:shd w:val="clear" w:color="auto" w:fill="FFFFFF"/>
        <w:spacing w:line="360" w:lineRule="auto"/>
        <w:ind w:firstLine="480" w:firstLineChars="200"/>
        <w:rPr>
          <w:rFonts w:ascii="宋体" w:hAnsi="宋体" w:eastAsia="宋体" w:cs="宋体"/>
          <w:sz w:val="24"/>
        </w:rPr>
      </w:pPr>
      <w:r>
        <w:rPr>
          <w:rFonts w:hint="eastAsia" w:ascii="宋体" w:hAnsi="宋体" w:eastAsia="宋体" w:cs="宋体"/>
          <w:sz w:val="24"/>
        </w:rPr>
        <w:t>（7）具备职业发展必需的外语水平、计算机操作能力和信息处理能力。</w:t>
      </w:r>
    </w:p>
    <w:p>
      <w:pPr>
        <w:widowControl/>
        <w:shd w:val="clear" w:color="auto" w:fill="FFFFFF"/>
        <w:spacing w:line="360" w:lineRule="auto"/>
        <w:ind w:firstLine="480" w:firstLineChars="200"/>
        <w:rPr>
          <w:rFonts w:ascii="宋体" w:hAnsi="宋体" w:eastAsia="宋体" w:cs="宋体"/>
          <w:sz w:val="24"/>
        </w:rPr>
      </w:pPr>
      <w:r>
        <w:rPr>
          <w:rFonts w:hint="eastAsia" w:ascii="宋体" w:hAnsi="宋体" w:eastAsia="宋体" w:cs="宋体"/>
          <w:sz w:val="24"/>
        </w:rPr>
        <w:t>（8）具有运用传统的中医药基础理论深入学习现代中药相关知识的能力；</w:t>
      </w:r>
    </w:p>
    <w:p>
      <w:pPr>
        <w:widowControl/>
        <w:shd w:val="clear" w:color="auto" w:fill="FFFFFF"/>
        <w:spacing w:line="360" w:lineRule="auto"/>
        <w:ind w:firstLine="480" w:firstLineChars="200"/>
        <w:rPr>
          <w:rFonts w:ascii="宋体" w:hAnsi="宋体" w:eastAsia="宋体" w:cs="宋体"/>
          <w:sz w:val="24"/>
        </w:rPr>
      </w:pPr>
      <w:r>
        <w:rPr>
          <w:rFonts w:hint="eastAsia" w:ascii="宋体" w:hAnsi="宋体" w:eastAsia="宋体" w:cs="宋体"/>
          <w:sz w:val="24"/>
        </w:rPr>
        <w:t>（9）具有一定的创新创业能力。</w:t>
      </w:r>
    </w:p>
    <w:p>
      <w:pPr>
        <w:snapToGrid w:val="0"/>
        <w:spacing w:line="360" w:lineRule="auto"/>
        <w:rPr>
          <w:rFonts w:ascii="宋体" w:hAnsi="宋体" w:eastAsia="宋体" w:cs="宋体"/>
          <w:b/>
          <w:sz w:val="24"/>
        </w:rPr>
      </w:pPr>
      <w:r>
        <w:rPr>
          <w:rFonts w:hint="eastAsia" w:ascii="宋体" w:hAnsi="宋体" w:eastAsia="宋体" w:cs="宋体"/>
          <w:b/>
          <w:sz w:val="24"/>
        </w:rPr>
        <w:t>六、课程设置及要求</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本专业课程体系分公共基础课程、专业基础课程、专业核心课程、选修课程（任选课、限选课）四大类。  </w:t>
      </w:r>
    </w:p>
    <w:tbl>
      <w:tblPr>
        <w:tblStyle w:val="8"/>
        <w:tblpPr w:leftFromText="180" w:rightFromText="180" w:vertAnchor="text" w:horzAnchor="page" w:tblpX="1875" w:tblpY="446"/>
        <w:tblOverlap w:val="never"/>
        <w:tblW w:w="8326" w:type="dxa"/>
        <w:tblInd w:w="0" w:type="dxa"/>
        <w:tblLayout w:type="fixed"/>
        <w:tblCellMar>
          <w:top w:w="0" w:type="dxa"/>
          <w:left w:w="108" w:type="dxa"/>
          <w:bottom w:w="0" w:type="dxa"/>
          <w:right w:w="108" w:type="dxa"/>
        </w:tblCellMar>
      </w:tblPr>
      <w:tblGrid>
        <w:gridCol w:w="1780"/>
        <w:gridCol w:w="5078"/>
        <w:gridCol w:w="1468"/>
      </w:tblGrid>
      <w:tr>
        <w:tblPrEx>
          <w:tblCellMar>
            <w:top w:w="0" w:type="dxa"/>
            <w:left w:w="108" w:type="dxa"/>
            <w:bottom w:w="0" w:type="dxa"/>
            <w:right w:w="108" w:type="dxa"/>
          </w:tblCellMar>
        </w:tblPrEx>
        <w:trPr>
          <w:trHeight w:val="363" w:hRule="atLeast"/>
        </w:trPr>
        <w:tc>
          <w:tcPr>
            <w:tcW w:w="1780" w:type="dxa"/>
            <w:tcBorders>
              <w:top w:val="single" w:color="auto" w:sz="8" w:space="0"/>
              <w:left w:val="single" w:color="auto" w:sz="8" w:space="0"/>
              <w:bottom w:val="single" w:color="auto" w:sz="8" w:space="0"/>
              <w:right w:val="single" w:color="auto" w:sz="8" w:space="0"/>
            </w:tcBorders>
            <w:noWrap/>
            <w:vAlign w:val="center"/>
          </w:tcPr>
          <w:p>
            <w:r>
              <w:rPr>
                <w:rFonts w:hint="eastAsia"/>
              </w:rPr>
              <w:t>课程类型</w:t>
            </w:r>
          </w:p>
        </w:tc>
        <w:tc>
          <w:tcPr>
            <w:tcW w:w="5078" w:type="dxa"/>
            <w:tcBorders>
              <w:top w:val="single" w:color="auto" w:sz="8" w:space="0"/>
              <w:left w:val="nil"/>
              <w:bottom w:val="single" w:color="auto" w:sz="8" w:space="0"/>
              <w:right w:val="single" w:color="auto" w:sz="8" w:space="0"/>
            </w:tcBorders>
            <w:noWrap/>
            <w:vAlign w:val="center"/>
          </w:tcPr>
          <w:p>
            <w:r>
              <w:rPr>
                <w:rFonts w:hint="eastAsia"/>
              </w:rPr>
              <w:t>课程名称</w:t>
            </w:r>
          </w:p>
        </w:tc>
        <w:tc>
          <w:tcPr>
            <w:tcW w:w="1468" w:type="dxa"/>
            <w:tcBorders>
              <w:top w:val="single" w:color="auto" w:sz="8" w:space="0"/>
              <w:left w:val="nil"/>
              <w:bottom w:val="single" w:color="auto" w:sz="8" w:space="0"/>
              <w:right w:val="single" w:color="auto" w:sz="8" w:space="0"/>
            </w:tcBorders>
            <w:noWrap/>
            <w:vAlign w:val="center"/>
          </w:tcPr>
          <w:p>
            <w:r>
              <w:rPr>
                <w:rFonts w:hint="eastAsia"/>
              </w:rPr>
              <w:t>课程性质</w:t>
            </w:r>
          </w:p>
        </w:tc>
      </w:tr>
      <w:tr>
        <w:tblPrEx>
          <w:tblCellMar>
            <w:top w:w="0" w:type="dxa"/>
            <w:left w:w="108" w:type="dxa"/>
            <w:bottom w:w="0" w:type="dxa"/>
            <w:right w:w="108" w:type="dxa"/>
          </w:tblCellMar>
        </w:tblPrEx>
        <w:trPr>
          <w:trHeight w:val="363" w:hRule="atLeast"/>
        </w:trPr>
        <w:tc>
          <w:tcPr>
            <w:tcW w:w="1780" w:type="dxa"/>
            <w:vMerge w:val="restart"/>
            <w:tcBorders>
              <w:top w:val="nil"/>
              <w:left w:val="single" w:color="auto" w:sz="8" w:space="0"/>
              <w:right w:val="single" w:color="auto" w:sz="8" w:space="0"/>
            </w:tcBorders>
            <w:noWrap/>
            <w:vAlign w:val="center"/>
          </w:tcPr>
          <w:p>
            <w:r>
              <w:rPr>
                <w:rFonts w:hint="eastAsia"/>
              </w:rPr>
              <w:t>公共基础课程</w:t>
            </w:r>
          </w:p>
        </w:tc>
        <w:tc>
          <w:tcPr>
            <w:tcW w:w="5078" w:type="dxa"/>
            <w:tcBorders>
              <w:top w:val="nil"/>
              <w:left w:val="nil"/>
              <w:bottom w:val="single" w:color="auto" w:sz="8" w:space="0"/>
              <w:right w:val="single" w:color="auto" w:sz="8" w:space="0"/>
            </w:tcBorders>
            <w:noWrap/>
            <w:vAlign w:val="center"/>
          </w:tcPr>
          <w:p>
            <w:r>
              <w:rPr>
                <w:rFonts w:hint="eastAsia"/>
              </w:rPr>
              <w:t>军事理论与军事技能</w:t>
            </w:r>
          </w:p>
        </w:tc>
        <w:tc>
          <w:tcPr>
            <w:tcW w:w="1468" w:type="dxa"/>
            <w:tcBorders>
              <w:top w:val="nil"/>
              <w:left w:val="nil"/>
              <w:bottom w:val="single" w:color="auto" w:sz="8" w:space="0"/>
              <w:right w:val="single" w:color="auto" w:sz="8" w:space="0"/>
            </w:tcBorders>
            <w:vAlign w:val="center"/>
          </w:tcPr>
          <w:p>
            <w:r>
              <w:rPr>
                <w:rFonts w:hint="eastAsia"/>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hint="eastAsia" w:eastAsiaTheme="minorEastAsia"/>
                <w:lang w:eastAsia="zh-CN"/>
              </w:rPr>
            </w:pPr>
            <w:r>
              <w:rPr>
                <w:rFonts w:hint="eastAsia"/>
                <w:lang w:eastAsia="zh-CN"/>
              </w:rPr>
              <w:t>思想道德与法治</w:t>
            </w:r>
          </w:p>
        </w:tc>
        <w:tc>
          <w:tcPr>
            <w:tcW w:w="1468" w:type="dxa"/>
            <w:tcBorders>
              <w:top w:val="nil"/>
              <w:left w:val="nil"/>
              <w:bottom w:val="single" w:color="auto" w:sz="8" w:space="0"/>
              <w:right w:val="single" w:color="auto" w:sz="8" w:space="0"/>
            </w:tcBorders>
            <w:vAlign w:val="center"/>
          </w:tcPr>
          <w:p>
            <w:r>
              <w:rPr>
                <w:rFonts w:hint="eastAsia"/>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r>
              <w:rPr>
                <w:rFonts w:hint="eastAsia"/>
              </w:rPr>
              <w:t>马克思主义中国化进程与青年学生使命担当</w:t>
            </w:r>
          </w:p>
        </w:tc>
        <w:tc>
          <w:tcPr>
            <w:tcW w:w="1468" w:type="dxa"/>
            <w:tcBorders>
              <w:top w:val="nil"/>
              <w:left w:val="nil"/>
              <w:bottom w:val="single" w:color="auto" w:sz="8" w:space="0"/>
              <w:right w:val="single" w:color="auto" w:sz="8" w:space="0"/>
            </w:tcBorders>
            <w:vAlign w:val="center"/>
          </w:tcPr>
          <w:p>
            <w:r>
              <w:rPr>
                <w:rFonts w:hint="eastAsia"/>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r>
              <w:rPr>
                <w:rFonts w:hint="eastAsia"/>
              </w:rPr>
              <w:t>毛泽东思想和中国特色社会主义理论体系概论</w:t>
            </w:r>
          </w:p>
        </w:tc>
        <w:tc>
          <w:tcPr>
            <w:tcW w:w="1468" w:type="dxa"/>
            <w:tcBorders>
              <w:top w:val="nil"/>
              <w:left w:val="nil"/>
              <w:bottom w:val="single" w:color="auto" w:sz="8" w:space="0"/>
              <w:right w:val="single" w:color="auto" w:sz="8" w:space="0"/>
            </w:tcBorders>
            <w:vAlign w:val="center"/>
          </w:tcPr>
          <w:p>
            <w:r>
              <w:rPr>
                <w:rFonts w:hint="eastAsia"/>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r>
              <w:rPr>
                <w:rFonts w:hint="eastAsia"/>
              </w:rPr>
              <w:t>形势与政策</w:t>
            </w:r>
          </w:p>
        </w:tc>
        <w:tc>
          <w:tcPr>
            <w:tcW w:w="1468" w:type="dxa"/>
            <w:tcBorders>
              <w:top w:val="nil"/>
              <w:left w:val="nil"/>
              <w:bottom w:val="single" w:color="auto" w:sz="8" w:space="0"/>
              <w:right w:val="single" w:color="auto" w:sz="8" w:space="0"/>
            </w:tcBorders>
            <w:vAlign w:val="center"/>
          </w:tcPr>
          <w:p>
            <w:r>
              <w:rPr>
                <w:rFonts w:hint="eastAsia"/>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体育</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大学生心理健康教育</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大学生职业发展与就业指导</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创新创业教育</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信息技术</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劳动教育</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英语</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8" w:space="0"/>
              <w:right w:val="single" w:color="auto" w:sz="8" w:space="0"/>
            </w:tcBorders>
            <w:noWrap/>
            <w:vAlign w:val="center"/>
          </w:tcPr>
          <w:p/>
        </w:tc>
        <w:tc>
          <w:tcPr>
            <w:tcW w:w="5078" w:type="dxa"/>
            <w:tcBorders>
              <w:top w:val="nil"/>
              <w:left w:val="nil"/>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国家安全教育</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restart"/>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rPr>
              <w:t>专业基础课程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人体解剖与生理</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微生物与免疫学</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药用基础化学</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中医学基础</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中药学</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药用植物学</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方剂与中成药</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中药化学</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药事管理与法规</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中药药理</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专业核心课程</w:t>
            </w: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中药药剂技术（包括中药调剂技术和中药制剂技术）</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中药炮制技术</w:t>
            </w:r>
          </w:p>
        </w:tc>
        <w:tc>
          <w:tcPr>
            <w:tcW w:w="1468" w:type="dxa"/>
            <w:tcBorders>
              <w:top w:val="nil"/>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4" w:space="0"/>
              <w:right w:val="single" w:color="auto" w:sz="8" w:space="0"/>
            </w:tcBorders>
            <w:noWrap/>
            <w:vAlign w:val="center"/>
          </w:tcPr>
          <w:p>
            <w:pPr>
              <w:rPr>
                <w:rFonts w:ascii="宋体" w:hAnsi="宋体" w:eastAsia="宋体" w:cs="宋体"/>
              </w:rPr>
            </w:pPr>
            <w:r>
              <w:rPr>
                <w:rFonts w:hint="eastAsia" w:ascii="宋体" w:hAnsi="宋体" w:eastAsia="宋体" w:cs="宋体"/>
              </w:rPr>
              <w:t>中药鉴定技术</w:t>
            </w:r>
          </w:p>
        </w:tc>
        <w:tc>
          <w:tcPr>
            <w:tcW w:w="1468" w:type="dxa"/>
            <w:tcBorders>
              <w:top w:val="nil"/>
              <w:left w:val="nil"/>
              <w:bottom w:val="single" w:color="auto" w:sz="4"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中药制剂检测技术</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医药市场营销</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中药栽培技术</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中药加工、贮藏与养护</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bottom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专业技能综合实训</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必修课</w:t>
            </w:r>
          </w:p>
        </w:tc>
      </w:tr>
      <w:tr>
        <w:tblPrEx>
          <w:tblCellMar>
            <w:top w:w="0" w:type="dxa"/>
            <w:left w:w="108" w:type="dxa"/>
            <w:bottom w:w="0" w:type="dxa"/>
            <w:right w:w="108" w:type="dxa"/>
          </w:tblCellMar>
        </w:tblPrEx>
        <w:trPr>
          <w:trHeight w:val="363" w:hRule="atLeast"/>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选修课程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中医药与中华传统文化</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艺术鉴赏</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双创训练营</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应用写作</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经典诵读</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医患沟通</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中国茶文化与茶健康</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药用植物识别技术</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实用药物学基础</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医学伦理学</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中药GSP实务</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中药学综合知识与技能</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药学文献检索</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药膳食疗学</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r>
        <w:tblPrEx>
          <w:tblCellMar>
            <w:top w:w="0" w:type="dxa"/>
            <w:left w:w="108" w:type="dxa"/>
            <w:bottom w:w="0" w:type="dxa"/>
            <w:right w:w="108" w:type="dxa"/>
          </w:tblCellMar>
        </w:tblPrEx>
        <w:trPr>
          <w:trHeight w:val="363" w:hRule="atLeast"/>
        </w:trPr>
        <w:tc>
          <w:tcPr>
            <w:tcW w:w="1780" w:type="dxa"/>
            <w:vMerge w:val="continue"/>
            <w:tcBorders>
              <w:left w:val="single" w:color="auto" w:sz="4" w:space="0"/>
              <w:right w:val="single" w:color="auto" w:sz="4" w:space="0"/>
            </w:tcBorders>
            <w:noWrap/>
            <w:vAlign w:val="center"/>
          </w:tcPr>
          <w:p/>
        </w:tc>
        <w:tc>
          <w:tcPr>
            <w:tcW w:w="5078" w:type="dxa"/>
            <w:tcBorders>
              <w:top w:val="single" w:color="auto" w:sz="4" w:space="0"/>
              <w:left w:val="single" w:color="auto" w:sz="4" w:space="0"/>
              <w:bottom w:val="single" w:color="auto" w:sz="8" w:space="0"/>
              <w:right w:val="single" w:color="auto" w:sz="8" w:space="0"/>
            </w:tcBorders>
            <w:noWrap/>
            <w:vAlign w:val="center"/>
          </w:tcPr>
          <w:p>
            <w:pPr>
              <w:rPr>
                <w:rFonts w:ascii="宋体" w:hAnsi="宋体" w:eastAsia="宋体" w:cs="宋体"/>
              </w:rPr>
            </w:pPr>
            <w:r>
              <w:rPr>
                <w:rFonts w:hint="eastAsia" w:ascii="宋体" w:hAnsi="宋体" w:eastAsia="宋体" w:cs="宋体"/>
              </w:rPr>
              <w:t>中药商品学</w:t>
            </w:r>
          </w:p>
        </w:tc>
        <w:tc>
          <w:tcPr>
            <w:tcW w:w="1468" w:type="dxa"/>
            <w:tcBorders>
              <w:top w:val="single" w:color="auto" w:sz="4" w:space="0"/>
              <w:left w:val="nil"/>
              <w:bottom w:val="single" w:color="auto" w:sz="8" w:space="0"/>
              <w:right w:val="single" w:color="auto" w:sz="8" w:space="0"/>
            </w:tcBorders>
            <w:vAlign w:val="center"/>
          </w:tcPr>
          <w:p>
            <w:pPr>
              <w:rPr>
                <w:rFonts w:ascii="宋体" w:hAnsi="宋体" w:eastAsia="宋体" w:cs="宋体"/>
              </w:rPr>
            </w:pPr>
            <w:r>
              <w:rPr>
                <w:rFonts w:hint="eastAsia" w:ascii="宋体" w:hAnsi="宋体" w:eastAsia="宋体" w:cs="宋体"/>
              </w:rPr>
              <w:t>专业选修课</w:t>
            </w:r>
          </w:p>
        </w:tc>
      </w:tr>
    </w:tbl>
    <w:p>
      <w:pPr>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表2中药学专业课程设置</w:t>
      </w:r>
    </w:p>
    <w:p>
      <w:pPr>
        <w:spacing w:line="360" w:lineRule="auto"/>
        <w:ind w:firstLine="482" w:firstLineChars="200"/>
        <w:rPr>
          <w:rFonts w:ascii="宋体" w:hAnsi="宋体" w:eastAsia="宋体" w:cs="宋体"/>
          <w:b/>
          <w:bCs/>
          <w:sz w:val="24"/>
        </w:rPr>
      </w:pPr>
    </w:p>
    <w:p>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（一）公共课模块（学时652，学分33）</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1．军事课之军事技能（148学时，4.0学分）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目的。</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lang w:eastAsia="zh-CN"/>
        </w:rPr>
        <w:t>思想道德与法治</w:t>
      </w:r>
      <w:r>
        <w:rPr>
          <w:rFonts w:hint="eastAsia" w:ascii="宋体" w:hAnsi="宋体" w:eastAsia="宋体" w:cs="宋体"/>
          <w:b w:val="0"/>
          <w:bCs/>
          <w:sz w:val="24"/>
        </w:rPr>
        <w:t>（48学时，3.0学分）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的必修课程，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3．马克思主义中国化进程与青年学生使命担当（</w:t>
      </w:r>
      <w:r>
        <w:rPr>
          <w:rFonts w:hint="eastAsia" w:ascii="宋体" w:hAnsi="宋体" w:eastAsia="宋体" w:cs="宋体"/>
          <w:b w:val="0"/>
          <w:bCs/>
          <w:sz w:val="24"/>
          <w:lang w:eastAsia="zh-CN"/>
        </w:rPr>
        <w:t>24学时</w:t>
      </w:r>
      <w:r>
        <w:rPr>
          <w:rFonts w:hint="eastAsia" w:ascii="宋体" w:hAnsi="宋体" w:eastAsia="宋体" w:cs="宋体"/>
          <w:b w:val="0"/>
          <w:bCs/>
          <w:sz w:val="24"/>
        </w:rPr>
        <w:t>，2.0学分）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4．毛泽东思想和中国特色社会主义理论体系概论（64学时，4.0学分）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程中的核心课程，是普通高等院校学生的必修课。这门课的基本内容是全面论述毛泽东思想、邓小平理论和“三个代表”重要思想、科学发展观和习近平新时代中国特色社会主义思想的科学涵义、形成发展过程、科学体系、历史地位、指导意义、基本观点及中国特色社会主义建设的路线方针政策等。使大学生通过学习，掌握马克思主义中国化的历程和理论成果，了解党的路线、方针和政策，确立中国特色社会主义的共同理想和信念，能自觉运用马克思主义的立场、观点和方法，提高分析解决现实问题的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5．形势与政策（32学时，1.0学分）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放和社会主义现代化建设形势、任务和发展成就教党和国家重大方针政策、重大活动和重大改革措施的教育。</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6．体育（108学时，6.0学分）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体育与健康》是各个专业学生的必修公共课程。其任务是通过合理的体育教学和科学的体育锻炼过程，努力增强学生体质与健康，给学生以体育文化和健康知识，指导他们实践锻炼，养成终身体育的意识，培养学生中华传统美德。同时进行《学生体质健康标准》测试，以保证《学生体质健康标准》的落实。</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本课程主要内容包括田径、球类、形体健美操、中华传统养生功法（八段锦、太极拳、五禽戏等）及学生体质健康测试项目等。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7．大学生心理健康教育（32学时，2.0学分）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《大学生心理健康 》是各专业的公共课程，其任务是以大学生心理素质的培养为主线，以提高大学生的心理素质为目的，以学生存在的主要心理问题为内容组织依据，力求通过通俗易懂的讲述，以促进学生的心理健康发展。重点是对心理健康知识的理解与运用上，目的在于提高大学生的自我调节和自我成长能力，并有助于他们社会能力、方法能力的形成。</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本课程的主要内容包括协调人际关系，增强适应社会生活的能力；认识与识别心理导常现象；大学生普通存在的、较为集中的心理问题等内容。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8．大学生职业发展与就业指导（32学时，2.0学分）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职业发展与就业指导》是各专业学生的必修公共课程,其任务是通过本课程的学习帮助学生建立职业发展意识，树立科学就业观；使学生掌握职业生涯规划的基本理论和方法；提升学生就业能力和综合素质；引领学生主动思考、探索，正确认识自我，提升内在素养和品质，从而有效安排大学生活，合理规划未来发展。</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本课程内容包括自我认知、认识社会、人职匹配、就业指导、创业教育等。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9．创新与创业教育（34学时，2.0学分）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创新与创业教育》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10．信息技术（64学时，4.0学分）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信息技术》是各专业学生的必修公共课程。其任务是通过该课程的学习，使学生掌握计算机操作的基本技能，具有文字和数据处理能力、信息获取、整理、加工能力，网上交互能力，以适应现代医疗单位对医护人员信息素养和计算机应用技术的要求，并为今后的进一步学习打下基础。</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本课程主要教学内容包括计算机的基础知识、常用操作系统的使用、文字处理软件的使用（Word、Excel、PowerPoint）、计算机网络的基本操作和使用等。</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11.《劳动教育》（16学时 1.0学分）</w:t>
      </w:r>
      <w:r>
        <w:rPr>
          <w:rFonts w:hint="eastAsia" w:ascii="宋体" w:hAnsi="宋体" w:eastAsia="宋体" w:cs="宋体"/>
          <w:bCs/>
          <w:sz w:val="24"/>
        </w:rPr>
        <w:br w:type="textWrapping"/>
      </w:r>
      <w:r>
        <w:rPr>
          <w:rFonts w:hint="eastAsia" w:ascii="宋体" w:hAnsi="宋体" w:eastAsia="宋体" w:cs="宋体"/>
          <w:bCs/>
          <w:sz w:val="24"/>
        </w:rPr>
        <w:t>教学要求：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12.英语（52学时，3.0学分）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以培养学生实际应用英语的能力为目标，侧重职场环境下语言交际能力的培养，使学生逐步提高用英语进行交流与沟通的能力。同时让学生能达到“全国高等学校英语能力考试A级或B级”的水平。使学生掌握有效的学习方法和策略，培养学生的学习兴趣和自主学习能力，提高学生的综合文化素养和跨文化交际意识，为提升学生的就业竞争力及未来的可持续发展打下必要的基础。</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13.国家安全教育（16学时，1.0学分）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p>
      <w:pPr>
        <w:spacing w:line="360" w:lineRule="auto"/>
        <w:ind w:firstLine="482" w:firstLineChars="200"/>
        <w:rPr>
          <w:rFonts w:ascii="宋体" w:hAnsi="宋体" w:eastAsia="宋体" w:cs="宋体"/>
          <w:b/>
          <w:bCs/>
          <w:sz w:val="24"/>
        </w:rPr>
      </w:pPr>
      <w:r>
        <w:rPr>
          <w:rFonts w:hint="eastAsia" w:ascii="宋体" w:hAnsi="宋体" w:eastAsia="宋体" w:cs="宋体"/>
          <w:b/>
          <w:bCs/>
          <w:sz w:val="24"/>
        </w:rPr>
        <w:t>（二）专业基础课模块（</w:t>
      </w:r>
      <w:r>
        <w:rPr>
          <w:rFonts w:hint="eastAsia" w:ascii="宋体" w:hAnsi="宋体" w:eastAsia="宋体" w:cs="宋体"/>
          <w:b/>
          <w:sz w:val="24"/>
        </w:rPr>
        <w:t>学时448，学分28</w:t>
      </w:r>
      <w:r>
        <w:rPr>
          <w:rFonts w:hint="eastAsia" w:ascii="宋体" w:hAnsi="宋体" w:eastAsia="宋体" w:cs="宋体"/>
          <w:b/>
          <w:bCs/>
          <w:sz w:val="24"/>
        </w:rPr>
        <w:t>）</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1．人体解剖与生理（48学时，3.0学分）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教学要求：通过教学使学生获得正常人体形态结构和功能的基本知识和基本理论，掌握人体主要器官的位置、形态、结构以及形态结构与功能的相互关系。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2．微生物与免疫学（32学时，2.0学分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与医学有关的病源生物与免疫学基础的基本内容。本课程的任务是使学生掌握此课程的基本理论和基本技能，主要内容包括医学微生物、免疫学基础和人体寄生虫三大部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 药用基础化学（64学时，4.0学分 ）</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用化学基础》主要学习无机化学、化学分析和有机化学的基本理论和基本实验技能，掌握化学基础知识、化学分析基本方法、有机化学基础知识及基础化学实验技能，能够运用药用化学基础原理及方法对常见化学药品进行定性、定量分析，能够熟悉有机化学在药物设计、合成和构效中的作用，能了解化学分析方法在药物的检验、分析和使用中的作用，培养学生独立思考的学习能力和熟练的操作技能，为后续药学专业核心课程的学习奠定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4.中医学基础（48学时，3.0学分）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获得中医学基本的整体观念与辨证论知识、中医的基本思维方法；阴阳、五行学说；中医基本理论及基本知识的藏象、精气血津液、体质、病因、发病、病机；对疾病的防治原则。使学生为继续学习中药学、方剂学各科打下基础。</w:t>
      </w:r>
    </w:p>
    <w:p>
      <w:pPr>
        <w:pStyle w:val="4"/>
        <w:spacing w:line="360" w:lineRule="auto"/>
        <w:ind w:firstLine="480" w:firstLineChars="200"/>
        <w:rPr>
          <w:rFonts w:ascii="宋体" w:hAnsi="宋体" w:eastAsia="宋体" w:cs="宋体"/>
          <w:b w:val="0"/>
          <w:bCs/>
          <w:sz w:val="24"/>
        </w:rPr>
      </w:pPr>
      <w:bookmarkStart w:id="0" w:name="_Toc525381582"/>
      <w:r>
        <w:rPr>
          <w:rFonts w:hint="eastAsia" w:ascii="宋体" w:hAnsi="宋体" w:eastAsia="宋体" w:cs="宋体"/>
          <w:b w:val="0"/>
          <w:bCs/>
          <w:sz w:val="24"/>
        </w:rPr>
        <w:t>5.</w:t>
      </w:r>
      <w:bookmarkEnd w:id="0"/>
      <w:r>
        <w:rPr>
          <w:rFonts w:hint="eastAsia" w:ascii="宋体" w:hAnsi="宋体" w:eastAsia="宋体" w:cs="宋体"/>
          <w:b w:val="0"/>
          <w:bCs/>
          <w:sz w:val="24"/>
        </w:rPr>
        <w:t>中药学（48学时，3.0学分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教学要求：其任务是通过本课程的学习，学生掌握400种常用中药的功效分类及其性味、归经、功效、主治、用法用量、使用注意等基本知识。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6.方剂与中成药（54学时，3.5学分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方剂学和中成药学发展概况、组方规律、剂型、用法等一般知识和基础理论以及常用方剂与中成药的组成、方解、功效与应用；引导学生掌握方剂的组方原理、配伍的基本规律和技巧，从而培养学生具有分析、运用成方的能力。</w:t>
      </w:r>
    </w:p>
    <w:p>
      <w:pPr>
        <w:pStyle w:val="4"/>
        <w:spacing w:line="360" w:lineRule="auto"/>
        <w:ind w:firstLine="480" w:firstLineChars="200"/>
        <w:rPr>
          <w:rFonts w:ascii="宋体" w:hAnsi="宋体" w:eastAsia="宋体" w:cs="宋体"/>
          <w:b w:val="0"/>
          <w:bCs/>
          <w:sz w:val="24"/>
        </w:rPr>
      </w:pPr>
      <w:bookmarkStart w:id="1" w:name="_Toc525381594"/>
      <w:r>
        <w:rPr>
          <w:rFonts w:hint="eastAsia" w:ascii="宋体" w:hAnsi="宋体" w:eastAsia="宋体" w:cs="宋体"/>
          <w:b w:val="0"/>
          <w:bCs/>
          <w:sz w:val="24"/>
        </w:rPr>
        <w:t>7.中药化学（54学时，3.5学分）</w:t>
      </w:r>
      <w:bookmarkEnd w:id="1"/>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常用中药提取方法及分析鉴别方法的基本操作技能，掌握中药中各种不同成分的提取、分离、鉴定方法，加深对理论课所讲内容的理解，培养学生的观察能力、动手能力、分析问题和解决问题的能力。</w:t>
      </w:r>
    </w:p>
    <w:p>
      <w:pPr>
        <w:pStyle w:val="4"/>
        <w:spacing w:line="360" w:lineRule="auto"/>
        <w:ind w:firstLine="480" w:firstLineChars="200"/>
        <w:rPr>
          <w:rFonts w:ascii="宋体" w:hAnsi="宋体" w:eastAsia="宋体" w:cs="宋体"/>
          <w:b w:val="0"/>
          <w:bCs/>
          <w:sz w:val="24"/>
        </w:rPr>
      </w:pPr>
      <w:bookmarkStart w:id="2" w:name="_Toc525381584"/>
      <w:bookmarkStart w:id="3" w:name="_Toc525381592"/>
      <w:r>
        <w:rPr>
          <w:rFonts w:hint="eastAsia" w:ascii="宋体" w:hAnsi="宋体" w:eastAsia="宋体" w:cs="宋体"/>
          <w:b w:val="0"/>
          <w:bCs/>
          <w:sz w:val="24"/>
        </w:rPr>
        <w:t>8.药用植物学（64学时，4.0学分）</w:t>
      </w:r>
      <w:bookmarkEnd w:id="2"/>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药用植物形态、解剖特征、生长发育基本规律、植物进化、药用植物与环境之间的关系以及药用植物分类等，能利用检索表对常见植物进行检索，能制作药用植物标本。</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本课程主要内容包括植物形态学、植物解剖学、植物分类学理论知识，常见药用植物种类的原植物来源、形态学特征、产地、药用部位及功效等。</w:t>
      </w:r>
    </w:p>
    <w:bookmarkEnd w:id="3"/>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9.药事管理与法规（14学时，1.0学分）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药品管理法及实施条例的内容、药事管理体制与组织机构、药品注册管理、药品使用管理、特殊管理药品和管理办法，了解中药管理的有关规定以及医药知识产权保护、医疗器械管理的相关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10.中药药理（18学时，1.5学分）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中药药性的现代科学内涵及代表药功效主治的药理学基础、影响中药作用的因素，熟悉中药配伍、中药药效学、中药药动学、中药毒理学的研究方法。了解药理实验的一般方法、技能及其他与工作岗位相适应的知识和技能。</w:t>
      </w:r>
    </w:p>
    <w:p>
      <w:pPr>
        <w:spacing w:line="360" w:lineRule="auto"/>
        <w:ind w:firstLine="482" w:firstLineChars="200"/>
        <w:rPr>
          <w:rFonts w:ascii="宋体" w:hAnsi="宋体" w:eastAsia="宋体" w:cs="宋体"/>
          <w:sz w:val="24"/>
        </w:rPr>
      </w:pPr>
      <w:r>
        <w:rPr>
          <w:rFonts w:hint="eastAsia" w:ascii="宋体" w:hAnsi="宋体" w:eastAsia="宋体" w:cs="宋体"/>
          <w:b/>
          <w:bCs/>
          <w:sz w:val="24"/>
        </w:rPr>
        <w:t>（三）专业核心课模块（</w:t>
      </w:r>
      <w:r>
        <w:rPr>
          <w:rFonts w:hint="eastAsia" w:ascii="宋体" w:hAnsi="宋体" w:eastAsia="宋体" w:cs="宋体"/>
          <w:b/>
          <w:sz w:val="24"/>
        </w:rPr>
        <w:t>学时352，学分22.5</w:t>
      </w:r>
      <w:r>
        <w:rPr>
          <w:rFonts w:hint="eastAsia" w:ascii="宋体" w:hAnsi="宋体" w:eastAsia="宋体" w:cs="宋体"/>
          <w:b/>
          <w:bCs/>
          <w:sz w:val="24"/>
        </w:rPr>
        <w:t>）</w:t>
      </w:r>
    </w:p>
    <w:p>
      <w:pPr>
        <w:pStyle w:val="4"/>
        <w:spacing w:line="360" w:lineRule="auto"/>
        <w:ind w:firstLine="480" w:firstLineChars="200"/>
        <w:rPr>
          <w:rFonts w:ascii="宋体" w:hAnsi="宋体" w:eastAsia="宋体" w:cs="宋体"/>
          <w:b w:val="0"/>
          <w:bCs/>
          <w:sz w:val="24"/>
        </w:rPr>
      </w:pPr>
      <w:bookmarkStart w:id="4" w:name="_Toc525381595"/>
      <w:r>
        <w:rPr>
          <w:rFonts w:hint="eastAsia" w:ascii="宋体" w:hAnsi="宋体" w:eastAsia="宋体" w:cs="宋体"/>
          <w:b w:val="0"/>
          <w:bCs/>
          <w:sz w:val="24"/>
        </w:rPr>
        <w:t>1.中药药剂技术（包括中药调剂技术和中药制剂技术）（ 60学时，4.0学分）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熟悉各种常用剂型的中药常用剂型的概念、特点、工制备工艺和质量控制等基础理论知识和技能，掌握现代药剂学的有关理论与技术，掌握中药调剂的基本操作技能，会正确使用中药调剂与制剂常用设备，熟悉药剂常用辅料，了解国内外药剂学研究新进展。能查阅药典等工具书，解决实际工作中常见的简单问题。</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2.中药炮制技术</w:t>
      </w:r>
      <w:bookmarkStart w:id="5" w:name="OLE_LINK11"/>
      <w:r>
        <w:rPr>
          <w:rFonts w:hint="eastAsia" w:ascii="宋体" w:hAnsi="宋体" w:eastAsia="宋体" w:cs="宋体"/>
          <w:b w:val="0"/>
          <w:bCs/>
          <w:sz w:val="24"/>
        </w:rPr>
        <w:t>（42学时，3.0学分）</w:t>
      </w:r>
      <w:bookmarkEnd w:id="5"/>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教学要求：通过本课程的学习，学生掌握中药炮制的目的、常用炮制方法、常用辅料及其应用要点等理论知识，熟悉常用中药炮制品的质量规格、炮制作用及炮制研究等，掌握常用炮制方法的基本操作技能。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3.中药鉴定技术（60学时，4.0学分）</w:t>
      </w:r>
      <w:bookmarkEnd w:id="4"/>
    </w:p>
    <w:p>
      <w:pPr>
        <w:spacing w:line="360" w:lineRule="auto"/>
        <w:ind w:firstLine="480" w:firstLineChars="200"/>
        <w:rPr>
          <w:rFonts w:ascii="宋体" w:hAnsi="宋体" w:eastAsia="宋体" w:cs="宋体"/>
          <w:bCs/>
          <w:sz w:val="24"/>
        </w:rPr>
      </w:pPr>
      <w:bookmarkStart w:id="6" w:name="_Toc525381596"/>
      <w:r>
        <w:rPr>
          <w:rFonts w:hint="eastAsia" w:ascii="宋体" w:hAnsi="宋体" w:eastAsia="宋体" w:cs="宋体"/>
          <w:bCs/>
          <w:sz w:val="24"/>
        </w:rPr>
        <w:t>教学要求：通过本课程的学习，学生掌握中药鉴定的基本概念、目的、依据、方法等基础知识，掌握中药性状鉴定和显微鉴定的必需理论知识和常用中药的性状鉴定技术及显微鉴定的基本操作技术；了解常用中药的来源、产地、采制、贮藏等基本知识。培养学生鉴定和研究中药品种和质量的基本操作技能，熟悉中药鉴定的规范化操作技术。</w:t>
      </w:r>
    </w:p>
    <w:bookmarkEnd w:id="6"/>
    <w:p>
      <w:pPr>
        <w:pStyle w:val="4"/>
        <w:spacing w:line="360" w:lineRule="auto"/>
        <w:ind w:firstLine="480" w:firstLineChars="200"/>
        <w:rPr>
          <w:rFonts w:ascii="宋体" w:hAnsi="宋体" w:eastAsia="宋体" w:cs="宋体"/>
          <w:b w:val="0"/>
          <w:bCs/>
          <w:sz w:val="24"/>
        </w:rPr>
      </w:pPr>
      <w:bookmarkStart w:id="7" w:name="OLE_LINK25"/>
      <w:r>
        <w:rPr>
          <w:rFonts w:hint="eastAsia" w:ascii="宋体" w:hAnsi="宋体" w:eastAsia="宋体" w:cs="宋体"/>
          <w:b w:val="0"/>
          <w:bCs/>
          <w:sz w:val="24"/>
        </w:rPr>
        <w:t>4.</w:t>
      </w:r>
      <w:bookmarkStart w:id="8" w:name="OLE_LINK33"/>
      <w:r>
        <w:rPr>
          <w:rFonts w:hint="eastAsia" w:ascii="宋体" w:hAnsi="宋体" w:eastAsia="宋体" w:cs="宋体"/>
          <w:b w:val="0"/>
          <w:bCs/>
          <w:sz w:val="24"/>
        </w:rPr>
        <w:t>中药制剂检测</w:t>
      </w:r>
      <w:bookmarkEnd w:id="7"/>
      <w:bookmarkEnd w:id="8"/>
      <w:r>
        <w:rPr>
          <w:rFonts w:hint="eastAsia" w:ascii="宋体" w:hAnsi="宋体" w:eastAsia="宋体" w:cs="宋体"/>
          <w:b w:val="0"/>
          <w:bCs/>
          <w:sz w:val="24"/>
        </w:rPr>
        <w:t>技术（42学时，3.0学分）</w:t>
      </w:r>
    </w:p>
    <w:p>
      <w:pPr>
        <w:spacing w:line="360" w:lineRule="auto"/>
        <w:ind w:firstLine="480" w:firstLineChars="200"/>
        <w:rPr>
          <w:rFonts w:ascii="宋体" w:hAnsi="宋体" w:eastAsia="宋体" w:cs="宋体"/>
          <w:bCs/>
          <w:sz w:val="24"/>
        </w:rPr>
      </w:pPr>
      <w:bookmarkStart w:id="9" w:name="OLE_LINK5"/>
      <w:r>
        <w:rPr>
          <w:rFonts w:hint="eastAsia" w:ascii="宋体" w:hAnsi="宋体" w:eastAsia="宋体" w:cs="宋体"/>
          <w:bCs/>
          <w:sz w:val="24"/>
        </w:rPr>
        <w:t>教学要求：通过本课程的学习，学生掌握中药制剂检验的基础知识、中药制剂质量和质量标准，具备熟练进行中药及制剂的鉴别、中药及制剂的杂质检查、中药及制剂的含量测定</w:t>
      </w:r>
      <w:bookmarkEnd w:id="9"/>
      <w:r>
        <w:rPr>
          <w:rFonts w:hint="eastAsia" w:ascii="宋体" w:hAnsi="宋体" w:eastAsia="宋体" w:cs="宋体"/>
          <w:bCs/>
          <w:sz w:val="24"/>
        </w:rPr>
        <w:t>等基本操作技能。了解中药制剂检测的新技术。</w:t>
      </w:r>
    </w:p>
    <w:p>
      <w:pPr>
        <w:pStyle w:val="4"/>
        <w:spacing w:line="360" w:lineRule="auto"/>
        <w:ind w:firstLine="480" w:firstLineChars="200"/>
        <w:rPr>
          <w:rFonts w:ascii="宋体" w:hAnsi="宋体" w:eastAsia="宋体" w:cs="宋体"/>
          <w:b w:val="0"/>
          <w:bCs/>
          <w:sz w:val="24"/>
        </w:rPr>
      </w:pPr>
      <w:bookmarkStart w:id="10" w:name="_Toc525381598"/>
      <w:r>
        <w:rPr>
          <w:rFonts w:hint="eastAsia" w:ascii="宋体" w:hAnsi="宋体" w:eastAsia="宋体" w:cs="宋体"/>
          <w:b w:val="0"/>
          <w:bCs/>
          <w:sz w:val="24"/>
        </w:rPr>
        <w:t>5.医药市场营销（16学时，1.0学分）</w:t>
      </w:r>
    </w:p>
    <w:p>
      <w:pPr>
        <w:spacing w:line="360" w:lineRule="auto"/>
        <w:ind w:firstLine="480" w:firstLineChars="200"/>
        <w:rPr>
          <w:rFonts w:ascii="宋体" w:hAnsi="宋体" w:eastAsia="宋体" w:cs="宋体"/>
          <w:bCs/>
          <w:kern w:val="0"/>
          <w:sz w:val="24"/>
        </w:rPr>
      </w:pPr>
      <w:r>
        <w:rPr>
          <w:rFonts w:hint="eastAsia" w:ascii="宋体" w:hAnsi="宋体" w:eastAsia="宋体" w:cs="宋体"/>
          <w:bCs/>
          <w:kern w:val="0"/>
          <w:sz w:val="24"/>
        </w:rPr>
        <w:t>教学要求：通过本课程的学习，学生获得药品市场的理论、营销环境及市场细分的原理、药品市场调查与预测、药品市场营销的组织与实施控制以及物流管理等方面的知识，熟悉先进有效的营销理论，具备从事药品营销工作所必需的营销学基本知识和基本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6.中药栽培技术（16学时，1.0学分）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栽培技术》以中药材种植为载体，以中药材生产质量管理规范(GAP)中药材生产标准操作规程(SOP)为准则，遵照药用植物生长周期，构建种植布局→土壤耕作→种苗处理及繁殖技术→田间管理控制→病虫害防控→采收加工的药用植物栽培实际工作流程教学内容，达到学生在开展药用植物种植时够用、能用、会用的目的。依托校内外实训基地，以中药材种植任务为主导，药用植物生长周期为教学历，边学边做、不误农时的教学模式适应现代化药用植物种植。</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7.中药加工贮藏与养护（16学时，1.0学分）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掌握影响中药变质的因素、中药变异现象的常见类型及其养护方法；中药的包装和中药入库前后的检査；中药仓库的分类、功能特点与现代仓贮设备;中药养护常用方法和现代养护新技术，常见中、西药的储存养护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8.专业技能综合实训（30学时，2.0学分）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药用植物识别技术：在学习《药用植物学》理论知识的基础上，通过野外认采实训，使学生能尽快识别常用的药用植物品种约200种。</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中药学综合技能实训：通过中药鉴别技能、中药调剂技能、中药显微鉴别技能、中药炮制技能及综合应用中药相关知识能力的综合强化训练，使学生复习巩固所学的专业技能，尽快进入跟岗实习阶段的学习状态。</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中药制剂与检测技能实训：通过综合训练，使学生掌握常用制剂的制备方法以及制剂的检测方法等操作技能。</w:t>
      </w:r>
    </w:p>
    <w:bookmarkEnd w:id="10"/>
    <w:p>
      <w:pPr>
        <w:spacing w:line="360" w:lineRule="auto"/>
        <w:ind w:firstLine="482" w:firstLineChars="200"/>
        <w:rPr>
          <w:rFonts w:ascii="宋体" w:hAnsi="宋体" w:eastAsia="宋体" w:cs="宋体"/>
          <w:sz w:val="24"/>
        </w:rPr>
      </w:pPr>
      <w:r>
        <w:rPr>
          <w:rFonts w:hint="eastAsia" w:ascii="宋体" w:hAnsi="宋体" w:eastAsia="宋体" w:cs="宋体"/>
          <w:b/>
          <w:bCs/>
          <w:sz w:val="24"/>
        </w:rPr>
        <w:t>（四）选修课模块（</w:t>
      </w:r>
      <w:r>
        <w:rPr>
          <w:rFonts w:hint="eastAsia" w:ascii="宋体" w:hAnsi="宋体" w:eastAsia="宋体" w:cs="宋体"/>
          <w:b/>
          <w:sz w:val="24"/>
        </w:rPr>
        <w:t>学时320，学分20.0</w:t>
      </w:r>
      <w:r>
        <w:rPr>
          <w:rFonts w:hint="eastAsia" w:ascii="宋体" w:hAnsi="宋体" w:eastAsia="宋体" w:cs="宋体"/>
          <w:b/>
          <w:bCs/>
          <w:sz w:val="24"/>
        </w:rPr>
        <w:t>）</w:t>
      </w:r>
    </w:p>
    <w:p>
      <w:pPr>
        <w:spacing w:line="360" w:lineRule="auto"/>
        <w:ind w:firstLine="480" w:firstLineChars="200"/>
        <w:rPr>
          <w:rFonts w:ascii="宋体" w:hAnsi="宋体" w:eastAsia="宋体" w:cs="宋体"/>
          <w:sz w:val="24"/>
        </w:rPr>
      </w:pPr>
      <w:r>
        <w:rPr>
          <w:rFonts w:hint="eastAsia" w:ascii="宋体" w:hAnsi="宋体" w:eastAsia="宋体" w:cs="宋体"/>
          <w:sz w:val="24"/>
        </w:rPr>
        <w:t>1.《中医药与中华传统文化》（16学时，1.0学分）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对中医药有比较清醒、客观的认识，既为我们先辈创造这一人类宝贵财富而自豪，又能醒认识到在科学技术不断进步、经济飞速发展、文化多元化发展的今天，这一传统学科如何面对现实，继续发挥其独特优势，为中华民族伟大复兴和世界人民健康发挥更大作用。既提供了从中医药学了解中华传统文化的视角，又让学习者从中华传统文化大背景下思考中医药学的历史和未来。它将有利于学生从正反两方面认识我国传统文化和科技成果，有利于学生独立思考问题能力和批判地继承能力的培养。</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2.艺术鉴赏</w:t>
      </w:r>
      <w:r>
        <w:rPr>
          <w:rFonts w:hint="eastAsia" w:ascii="宋体" w:hAnsi="宋体" w:eastAsia="宋体" w:cs="宋体"/>
          <w:sz w:val="24"/>
        </w:rPr>
        <w:t>（16学时，1.0学分）</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通过</w:t>
      </w:r>
      <w:r>
        <w:rPr>
          <w:rFonts w:hint="eastAsia" w:ascii="宋体" w:hAnsi="宋体" w:eastAsia="宋体" w:cs="宋体"/>
          <w:sz w:val="24"/>
        </w:rPr>
        <w:t>对课程的学习，使学生对艺术的赏能力不仅仅停留在艺术作品的表象，而是要从审美心理出发去感受作品内涵，进而达到欣赏者和艺术家、个人审美经验与和普遍经验的交融，从而提升学生的艺术修养。</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3.双创训练营（32学时，2学分）</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教学要求：将创新创业课程与创新创业实践活动相结合，开发大学生潜能，务实服务大学生创新创业，激发大学生的“双创”意识、培养大学生的“双创”能力、拓展大学生“双创”视野，在实训过程中能实践双创项目准备过程，课程结束后能在老师的指导下完成双创项目的构建</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4.应用写作</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通过本课程的学习，使学生掌握</w:t>
      </w:r>
      <w:r>
        <w:fldChar w:fldCharType="begin"/>
      </w:r>
      <w:r>
        <w:instrText xml:space="preserve"> HYPERLINK "http://baike.baidu.com/view/1955183.htm" \t "http://baike.baidu.com/_blank" </w:instrText>
      </w:r>
      <w:r>
        <w:fldChar w:fldCharType="separate"/>
      </w:r>
      <w:r>
        <w:rPr>
          <w:rFonts w:hint="eastAsia" w:ascii="宋体" w:hAnsi="宋体" w:eastAsia="宋体" w:cs="宋体"/>
          <w:sz w:val="24"/>
        </w:rPr>
        <w:t>实用写作</w:t>
      </w:r>
      <w:r>
        <w:rPr>
          <w:rFonts w:hint="eastAsia" w:ascii="宋体" w:hAnsi="宋体" w:eastAsia="宋体" w:cs="宋体"/>
          <w:sz w:val="24"/>
        </w:rPr>
        <w:fldChar w:fldCharType="end"/>
      </w:r>
      <w:r>
        <w:rPr>
          <w:rFonts w:hint="eastAsia" w:ascii="宋体" w:hAnsi="宋体" w:eastAsia="宋体" w:cs="宋体"/>
          <w:sz w:val="24"/>
        </w:rPr>
        <w:t>的基本原则，掌握实用写作的基本特点、规律及不同写作文体的写格式要求及写作技巧。</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本课程主要内容包括实用写作的特点与规律、写作主体的文学修养与能力、各种常用写作文体的写作要求及写作技巧等。</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5.经典诵读</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的主要内容有中国历史、文学概要、文化传统及部分精选作品等。通过本课程的学习，使学生对所选作品的熟读和思考，通过教师的讲授指导，掌握较完整、全面的社会、政治、经济的发展知识，使学生学会能懂能解会赏会评等能力，达到对学生的思想启迪、道德熏陶。</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6.医患沟通</w:t>
      </w:r>
      <w:r>
        <w:rPr>
          <w:rFonts w:hint="eastAsia" w:ascii="宋体" w:hAnsi="宋体" w:eastAsia="宋体" w:cs="宋体"/>
          <w:sz w:val="24"/>
        </w:rPr>
        <w:t>（16学时，1.0学分）</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通过本课程的学习，使学生掌握沟通能力和生活、学习礼仪素养，使其能够和患者、患者家属快乐相处。本课程的主要内容有认识自我及人际沟通技巧、处理压力的原则方法、团队合作的技巧及处理医患冲突的办法等</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7.中国茶文化与茶健康</w:t>
      </w:r>
      <w:r>
        <w:rPr>
          <w:rFonts w:hint="eastAsia" w:ascii="宋体" w:hAnsi="宋体" w:eastAsia="宋体" w:cs="宋体"/>
          <w:sz w:val="24"/>
        </w:rPr>
        <w:t xml:space="preserve">（16学时，1.0学分）  </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以传统中华茶文化和现代茶科学研究为本体，诠释了中华茶的发展、传播的历史和其中体现出来的人文精神。本课程说古论今、通俗易懂，融知识性、趣味性、科学性为一体，使受众在轻松、愉快的氛围中获得知识，提高修养。</w:t>
      </w:r>
    </w:p>
    <w:p>
      <w:pPr>
        <w:spacing w:line="360" w:lineRule="auto"/>
        <w:ind w:firstLine="480" w:firstLineChars="200"/>
        <w:rPr>
          <w:rFonts w:ascii="宋体" w:hAnsi="宋体" w:eastAsia="宋体" w:cs="宋体"/>
          <w:sz w:val="24"/>
        </w:rPr>
      </w:pPr>
      <w:r>
        <w:rPr>
          <w:rFonts w:hint="eastAsia" w:ascii="宋体" w:hAnsi="宋体" w:eastAsia="宋体" w:cs="宋体"/>
          <w:sz w:val="24"/>
        </w:rPr>
        <w:t>8.药用植物识别技术（16学时，1.0学分）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本课程是《药用植物学》的实践课程，是在学习药用植物学知识后，通过野外实践认采进一步</w:t>
      </w:r>
      <w:r>
        <w:rPr>
          <w:rFonts w:hint="eastAsia" w:ascii="宋体" w:hAnsi="宋体" w:eastAsia="宋体" w:cs="宋体"/>
          <w:sz w:val="24"/>
          <w:shd w:val="clear" w:color="auto" w:fill="FFFFFF"/>
        </w:rPr>
        <w:t>了解药用植物的药用部位,，了解药用植物资源分布状况，</w:t>
      </w:r>
      <w:r>
        <w:rPr>
          <w:rFonts w:hint="eastAsia" w:ascii="宋体" w:hAnsi="宋体" w:eastAsia="宋体" w:cs="宋体"/>
          <w:sz w:val="24"/>
        </w:rPr>
        <w:t>掌握常用药用植物的生长环境和生长特点，学会识别常用药用植物的品种200-300种。</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9.实用药物学基础</w:t>
      </w:r>
      <w:r>
        <w:rPr>
          <w:rFonts w:hint="eastAsia" w:ascii="宋体" w:hAnsi="宋体" w:eastAsia="宋体" w:cs="宋体"/>
          <w:kern w:val="0"/>
          <w:sz w:val="24"/>
        </w:rPr>
        <w:t>（32学时，2学分）</w:t>
      </w:r>
    </w:p>
    <w:p>
      <w:pPr>
        <w:spacing w:line="360" w:lineRule="auto"/>
        <w:ind w:firstLine="480" w:firstLineChars="200"/>
        <w:rPr>
          <w:rFonts w:ascii="宋体" w:hAnsi="宋体" w:eastAsia="宋体" w:cs="宋体"/>
          <w:b/>
          <w:bCs/>
          <w:sz w:val="24"/>
        </w:rPr>
      </w:pPr>
      <w:r>
        <w:rPr>
          <w:rFonts w:hint="eastAsia" w:ascii="宋体" w:hAnsi="宋体" w:eastAsia="宋体" w:cs="宋体"/>
          <w:sz w:val="24"/>
        </w:rPr>
        <w:t xml:space="preserve">本课程整合了药物化学、药理学和临床药物治疗学的基本知识内容。课程以药物结构为主线，以药理作用为基础，着重讲述各类药物与稳定性及检验有关的化学知识，强化药物的主要用途、常见疾病的用药原则、不良反应及药物相互作用等实用性内容，时为学生今后更好地从事药品生产、药品经营及药学服务等岗位工作提供药学知识及技能.上的支持，树立安全、合理用药的观念。 </w:t>
      </w:r>
    </w:p>
    <w:p>
      <w:pPr>
        <w:spacing w:line="360" w:lineRule="auto"/>
        <w:ind w:firstLine="480" w:firstLineChars="200"/>
        <w:rPr>
          <w:rFonts w:ascii="宋体" w:hAnsi="宋体" w:eastAsia="宋体" w:cs="宋体"/>
          <w:sz w:val="24"/>
        </w:rPr>
      </w:pPr>
      <w:r>
        <w:rPr>
          <w:rFonts w:hint="eastAsia" w:ascii="宋体" w:hAnsi="宋体" w:eastAsia="宋体" w:cs="宋体"/>
          <w:sz w:val="24"/>
        </w:rPr>
        <w:t>10.医学伦理学（16学时，1.0学分）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通过学习和熟悉医药伦理学的基本理论知识，并将其运用于卫生管理的实践和生命科学的发展，以便培养、提高职业道德品质和分析、解决伦理问题的能力。</w:t>
      </w:r>
    </w:p>
    <w:p>
      <w:pPr>
        <w:spacing w:line="360" w:lineRule="auto"/>
        <w:ind w:firstLine="480" w:firstLineChars="200"/>
        <w:rPr>
          <w:rFonts w:ascii="宋体" w:hAnsi="宋体" w:eastAsia="宋体" w:cs="宋体"/>
          <w:sz w:val="24"/>
        </w:rPr>
      </w:pPr>
      <w:r>
        <w:rPr>
          <w:rFonts w:hint="eastAsia" w:ascii="宋体" w:hAnsi="宋体" w:eastAsia="宋体" w:cs="宋体"/>
          <w:sz w:val="24"/>
        </w:rPr>
        <w:t>11.中药GSP实务（16学时，1.0学分）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学会药品经营质量管理及药品经营质量认证(GSP认证)，同时培养学生良好的职业道德与职业素养，强化依法合规的经营理念。本课程以《药事法规》为基础，同时本课程为项岗实习提供一定的理论基础和工作规范。</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12.中药学综合知识与技能</w:t>
      </w:r>
      <w:r>
        <w:rPr>
          <w:rFonts w:hint="eastAsia" w:ascii="宋体" w:hAnsi="宋体" w:eastAsia="宋体" w:cs="宋体"/>
          <w:kern w:val="0"/>
          <w:sz w:val="24"/>
        </w:rPr>
        <w:t>（32学时，</w:t>
      </w:r>
      <w:r>
        <w:rPr>
          <w:rFonts w:hint="eastAsia" w:ascii="宋体" w:hAnsi="宋体" w:eastAsia="宋体" w:cs="宋体"/>
          <w:sz w:val="24"/>
        </w:rPr>
        <w:t>2.0</w:t>
      </w:r>
      <w:r>
        <w:rPr>
          <w:rFonts w:hint="eastAsia" w:ascii="宋体" w:hAnsi="宋体" w:eastAsia="宋体" w:cs="宋体"/>
          <w:kern w:val="0"/>
          <w:sz w:val="24"/>
        </w:rPr>
        <w:t>学分）</w:t>
      </w:r>
    </w:p>
    <w:p>
      <w:pPr>
        <w:spacing w:line="360" w:lineRule="auto"/>
        <w:ind w:firstLine="480" w:firstLineChars="200"/>
        <w:rPr>
          <w:rFonts w:ascii="宋体" w:hAnsi="宋体" w:eastAsia="宋体" w:cs="宋体"/>
          <w:sz w:val="24"/>
        </w:rPr>
      </w:pPr>
      <w:r>
        <w:rPr>
          <w:rFonts w:hint="eastAsia" w:ascii="宋体" w:hAnsi="宋体" w:eastAsia="宋体" w:cs="宋体"/>
          <w:sz w:val="24"/>
        </w:rPr>
        <w:t>中药学综合知识与技能是高职高专中药专业的一门重要的专业技能课程，也是国家执业中药师资格考试的科目之一。 本课程内容涵盖了中医学基础、中药调剂学和中药养护学等多学科的知识主要培养学生综合应用中药学各项专业知识和技能来解决中药学在服务过程中遇到的实际问题的能力,并为将来的实习和工作进行知识和技能的储备。</w:t>
      </w:r>
    </w:p>
    <w:p>
      <w:pPr>
        <w:spacing w:line="360" w:lineRule="auto"/>
        <w:ind w:firstLine="480" w:firstLineChars="200"/>
        <w:rPr>
          <w:rFonts w:ascii="宋体" w:hAnsi="宋体" w:eastAsia="宋体" w:cs="宋体"/>
          <w:sz w:val="24"/>
        </w:rPr>
      </w:pPr>
      <w:r>
        <w:rPr>
          <w:rFonts w:hint="eastAsia" w:ascii="宋体" w:hAnsi="宋体" w:eastAsia="宋体" w:cs="宋体"/>
          <w:sz w:val="24"/>
        </w:rPr>
        <w:t>13.药学文献检索（16学时，1.0学分）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教学要求： 通过学习，使学生增加对信息和信息检索的理性认识，培养敏锐的情报意识；掌握文献及文献检索的基础知识，检索原理，检索途径和检索方法；掌握分析、评价和利用检索结果的正确方法，有效地运用文献信息，顺利地解决在学习和工作中遇到的有关问题。</w:t>
      </w:r>
    </w:p>
    <w:p>
      <w:pPr>
        <w:spacing w:line="360" w:lineRule="auto"/>
        <w:ind w:firstLine="480" w:firstLineChars="200"/>
        <w:rPr>
          <w:rFonts w:ascii="宋体" w:hAnsi="宋体" w:eastAsia="宋体" w:cs="宋体"/>
          <w:sz w:val="24"/>
        </w:rPr>
      </w:pPr>
      <w:r>
        <w:rPr>
          <w:rFonts w:hint="eastAsia" w:ascii="宋体" w:hAnsi="宋体" w:eastAsia="宋体" w:cs="宋体"/>
          <w:sz w:val="24"/>
        </w:rPr>
        <w:t>14.药膳食疗学（16学时，1.0学分）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是中医治疗学的重要组成部分，是在中医学理论指导下，研究中医药膳的起源、发展、理论、应用及开发的一门学科，在中医养生康复专业为主干课程，在康复治疗专业属于能力拓展课程。目标是让学生掌握中医药膳的基本理论，常用药材、食材的性能应用，以及常用药膳配方的制作与应用。</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15.中药商品学</w:t>
      </w:r>
      <w:r>
        <w:rPr>
          <w:rFonts w:hint="eastAsia" w:ascii="宋体" w:hAnsi="宋体" w:eastAsia="宋体" w:cs="宋体"/>
          <w:kern w:val="0"/>
          <w:sz w:val="24"/>
        </w:rPr>
        <w:t>（32学时，</w:t>
      </w:r>
      <w:r>
        <w:rPr>
          <w:rFonts w:hint="eastAsia" w:ascii="宋体" w:hAnsi="宋体" w:eastAsia="宋体" w:cs="宋体"/>
          <w:sz w:val="24"/>
        </w:rPr>
        <w:t>2.0</w:t>
      </w:r>
      <w:r>
        <w:rPr>
          <w:rFonts w:hint="eastAsia" w:ascii="宋体" w:hAnsi="宋体" w:eastAsia="宋体" w:cs="宋体"/>
          <w:kern w:val="0"/>
          <w:sz w:val="24"/>
        </w:rPr>
        <w:t>学分）</w:t>
      </w:r>
    </w:p>
    <w:p>
      <w:pPr>
        <w:spacing w:line="360" w:lineRule="auto"/>
        <w:ind w:firstLine="480" w:firstLineChars="200"/>
        <w:rPr>
          <w:rFonts w:ascii="宋体" w:hAnsi="宋体" w:eastAsia="宋体" w:cs="宋体"/>
          <w:sz w:val="24"/>
        </w:rPr>
      </w:pPr>
      <w:r>
        <w:rPr>
          <w:rFonts w:hint="eastAsia" w:ascii="宋体" w:hAnsi="宋体" w:eastAsia="宋体" w:cs="宋体"/>
          <w:sz w:val="24"/>
        </w:rPr>
        <w:t>中药商品学是一门研究药材品种的来源、性质、购销、商品规格、等级、质量和检验有关的理论和技术科学。研究范畴包括中药材商品的来源、产销、采收加工、性状、品质规格、鉴别、贮藏和用途。要求掌握中药材发展史、药材分布、道地药材、规格等级、商品特征及有关法律、法规，介绍中药商品学及其商品特点、中药材商业和形成与发展、我国的中药材资源概况、中药商品的管理法规及质量标准、中药商业企业的经营管理、药材的集散地、药材进出口概况等内容。</w:t>
      </w:r>
    </w:p>
    <w:p>
      <w:pPr>
        <w:spacing w:line="360" w:lineRule="auto"/>
        <w:rPr>
          <w:rFonts w:ascii="宋体" w:hAnsi="宋体" w:eastAsia="宋体" w:cs="宋体"/>
          <w:b/>
          <w:bCs/>
          <w:sz w:val="24"/>
        </w:rPr>
      </w:pPr>
      <w:r>
        <w:rPr>
          <w:rFonts w:hint="eastAsia" w:ascii="宋体" w:hAnsi="宋体" w:eastAsia="宋体" w:cs="宋体"/>
          <w:b/>
          <w:bCs/>
          <w:sz w:val="24"/>
        </w:rPr>
        <w:t>七、教学进程总体安排</w:t>
      </w:r>
    </w:p>
    <w:p>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（一）教学活动时间分配表</w:t>
      </w:r>
    </w:p>
    <w:p>
      <w:pPr>
        <w:adjustRightInd w:val="0"/>
        <w:snapToGrid w:val="0"/>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表3 学时分配表</w:t>
      </w:r>
    </w:p>
    <w:tbl>
      <w:tblPr>
        <w:tblStyle w:val="8"/>
        <w:tblW w:w="8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071"/>
        <w:gridCol w:w="1378"/>
        <w:gridCol w:w="1379"/>
        <w:gridCol w:w="1606"/>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50" w:type="dxa"/>
            <w:vMerge w:val="restart"/>
            <w:vAlign w:val="center"/>
          </w:tcPr>
          <w:p>
            <w:pPr>
              <w:jc w:val="center"/>
            </w:pPr>
            <w:r>
              <w:rPr>
                <w:rFonts w:hint="eastAsia"/>
              </w:rPr>
              <w:t>模块</w:t>
            </w:r>
          </w:p>
        </w:tc>
        <w:tc>
          <w:tcPr>
            <w:tcW w:w="1071" w:type="dxa"/>
            <w:vMerge w:val="restart"/>
            <w:vAlign w:val="center"/>
          </w:tcPr>
          <w:p>
            <w:pPr>
              <w:jc w:val="center"/>
            </w:pPr>
            <w:r>
              <w:rPr>
                <w:rFonts w:hint="eastAsia"/>
              </w:rPr>
              <w:t>性质</w:t>
            </w:r>
          </w:p>
        </w:tc>
        <w:tc>
          <w:tcPr>
            <w:tcW w:w="4363" w:type="dxa"/>
            <w:gridSpan w:val="3"/>
            <w:vAlign w:val="center"/>
          </w:tcPr>
          <w:p>
            <w:pPr>
              <w:jc w:val="center"/>
            </w:pPr>
            <w:r>
              <w:rPr>
                <w:rFonts w:hint="eastAsia"/>
              </w:rPr>
              <w:t>学时数</w:t>
            </w:r>
          </w:p>
        </w:tc>
        <w:tc>
          <w:tcPr>
            <w:tcW w:w="1588" w:type="dxa"/>
            <w:vMerge w:val="restart"/>
            <w:vAlign w:val="center"/>
          </w:tcPr>
          <w:p>
            <w:pPr>
              <w:jc w:val="center"/>
            </w:pPr>
            <w:r>
              <w:rPr>
                <w:rFonts w:hint="eastAsia"/>
              </w:rPr>
              <w:t>占总学时的百分比（%）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50" w:type="dxa"/>
            <w:vMerge w:val="continue"/>
            <w:vAlign w:val="center"/>
          </w:tcPr>
          <w:p>
            <w:pPr>
              <w:jc w:val="center"/>
            </w:pPr>
          </w:p>
        </w:tc>
        <w:tc>
          <w:tcPr>
            <w:tcW w:w="1071" w:type="dxa"/>
            <w:vMerge w:val="continue"/>
            <w:vAlign w:val="center"/>
          </w:tcPr>
          <w:p>
            <w:pPr>
              <w:jc w:val="center"/>
            </w:pPr>
          </w:p>
        </w:tc>
        <w:tc>
          <w:tcPr>
            <w:tcW w:w="1378" w:type="dxa"/>
            <w:vAlign w:val="center"/>
          </w:tcPr>
          <w:p>
            <w:pPr>
              <w:jc w:val="center"/>
            </w:pPr>
            <w:r>
              <w:rPr>
                <w:rFonts w:hint="eastAsia"/>
              </w:rPr>
              <w:t>理论</w:t>
            </w:r>
          </w:p>
        </w:tc>
        <w:tc>
          <w:tcPr>
            <w:tcW w:w="1379" w:type="dxa"/>
            <w:vAlign w:val="center"/>
          </w:tcPr>
          <w:p>
            <w:pPr>
              <w:jc w:val="center"/>
            </w:pPr>
            <w:r>
              <w:rPr>
                <w:rFonts w:hint="eastAsia"/>
              </w:rPr>
              <w:t>实践</w:t>
            </w:r>
          </w:p>
        </w:tc>
        <w:tc>
          <w:tcPr>
            <w:tcW w:w="1606" w:type="dxa"/>
            <w:vAlign w:val="center"/>
          </w:tcPr>
          <w:p>
            <w:pPr>
              <w:jc w:val="center"/>
            </w:pPr>
            <w:r>
              <w:rPr>
                <w:rFonts w:hint="eastAsia"/>
              </w:rPr>
              <w:t>理/实比例</w:t>
            </w:r>
          </w:p>
        </w:tc>
        <w:tc>
          <w:tcPr>
            <w:tcW w:w="158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公共课模块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332</w:t>
            </w:r>
          </w:p>
        </w:tc>
        <w:tc>
          <w:tcPr>
            <w:tcW w:w="1379" w:type="dxa"/>
            <w:vAlign w:val="center"/>
          </w:tcPr>
          <w:p>
            <w:pPr>
              <w:jc w:val="center"/>
            </w:pPr>
            <w:r>
              <w:rPr>
                <w:rFonts w:hint="eastAsia"/>
              </w:rPr>
              <w:t>320</w:t>
            </w:r>
          </w:p>
        </w:tc>
        <w:tc>
          <w:tcPr>
            <w:tcW w:w="1606" w:type="dxa"/>
            <w:vAlign w:val="center"/>
          </w:tcPr>
          <w:p>
            <w:pPr>
              <w:jc w:val="center"/>
            </w:pPr>
            <w:r>
              <w:rPr>
                <w:rFonts w:hint="eastAsia"/>
              </w:rPr>
              <w:t>1.0375</w:t>
            </w:r>
          </w:p>
        </w:tc>
        <w:tc>
          <w:tcPr>
            <w:tcW w:w="1588" w:type="dxa"/>
            <w:noWrap/>
            <w:vAlign w:val="center"/>
          </w:tcPr>
          <w:p>
            <w:pPr>
              <w:jc w:val="center"/>
            </w:pPr>
            <w:r>
              <w:rPr>
                <w:rFonts w:hint="eastAsia"/>
              </w:rPr>
              <w:t>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专业基础课模块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338</w:t>
            </w:r>
          </w:p>
        </w:tc>
        <w:tc>
          <w:tcPr>
            <w:tcW w:w="1379" w:type="dxa"/>
            <w:vAlign w:val="center"/>
          </w:tcPr>
          <w:p>
            <w:pPr>
              <w:jc w:val="center"/>
            </w:pPr>
            <w:r>
              <w:rPr>
                <w:rFonts w:hint="eastAsia"/>
              </w:rPr>
              <w:t>110</w:t>
            </w:r>
          </w:p>
        </w:tc>
        <w:tc>
          <w:tcPr>
            <w:tcW w:w="1606" w:type="dxa"/>
            <w:vAlign w:val="center"/>
          </w:tcPr>
          <w:p>
            <w:pPr>
              <w:jc w:val="center"/>
            </w:pPr>
            <w:r>
              <w:rPr>
                <w:rFonts w:hint="eastAsia"/>
              </w:rPr>
              <w:t>3.07</w:t>
            </w:r>
          </w:p>
        </w:tc>
        <w:tc>
          <w:tcPr>
            <w:tcW w:w="1588" w:type="dxa"/>
            <w:noWrap/>
            <w:vAlign w:val="center"/>
          </w:tcPr>
          <w:p>
            <w:pPr>
              <w:jc w:val="center"/>
            </w:pPr>
            <w:r>
              <w:rPr>
                <w:rFonts w:hint="eastAsia"/>
              </w:rPr>
              <w:t>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专业核心模块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184</w:t>
            </w:r>
          </w:p>
        </w:tc>
        <w:tc>
          <w:tcPr>
            <w:tcW w:w="1379" w:type="dxa"/>
            <w:vAlign w:val="center"/>
          </w:tcPr>
          <w:p>
            <w:pPr>
              <w:jc w:val="center"/>
            </w:pPr>
            <w:r>
              <w:rPr>
                <w:rFonts w:hint="eastAsia"/>
              </w:rPr>
              <w:t>168</w:t>
            </w:r>
          </w:p>
        </w:tc>
        <w:tc>
          <w:tcPr>
            <w:tcW w:w="1606" w:type="dxa"/>
            <w:vAlign w:val="center"/>
          </w:tcPr>
          <w:p>
            <w:pPr>
              <w:jc w:val="center"/>
            </w:pPr>
            <w:r>
              <w:rPr>
                <w:rFonts w:hint="eastAsia"/>
              </w:rPr>
              <w:t>1.095</w:t>
            </w:r>
          </w:p>
        </w:tc>
        <w:tc>
          <w:tcPr>
            <w:tcW w:w="1588" w:type="dxa"/>
            <w:noWrap/>
            <w:vAlign w:val="center"/>
          </w:tcPr>
          <w:p>
            <w:pPr>
              <w:jc w:val="center"/>
            </w:pPr>
            <w:r>
              <w:rPr>
                <w:rFonts w:hint="eastAsia"/>
              </w:rP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选修课模块</w:t>
            </w:r>
          </w:p>
        </w:tc>
        <w:tc>
          <w:tcPr>
            <w:tcW w:w="1071" w:type="dxa"/>
            <w:vAlign w:val="center"/>
          </w:tcPr>
          <w:p>
            <w:pPr>
              <w:jc w:val="center"/>
            </w:pPr>
            <w:r>
              <w:rPr>
                <w:rFonts w:hint="eastAsia"/>
              </w:rPr>
              <w:t>选修</w:t>
            </w:r>
          </w:p>
        </w:tc>
        <w:tc>
          <w:tcPr>
            <w:tcW w:w="1378" w:type="dxa"/>
            <w:vAlign w:val="center"/>
          </w:tcPr>
          <w:p>
            <w:pPr>
              <w:jc w:val="center"/>
            </w:pPr>
            <w:r>
              <w:rPr>
                <w:rFonts w:hint="eastAsia"/>
              </w:rPr>
              <w:t>252</w:t>
            </w:r>
          </w:p>
        </w:tc>
        <w:tc>
          <w:tcPr>
            <w:tcW w:w="1379" w:type="dxa"/>
            <w:vAlign w:val="center"/>
          </w:tcPr>
          <w:p>
            <w:pPr>
              <w:jc w:val="center"/>
            </w:pPr>
            <w:r>
              <w:rPr>
                <w:rFonts w:hint="eastAsia"/>
              </w:rPr>
              <w:t>52</w:t>
            </w:r>
          </w:p>
        </w:tc>
        <w:tc>
          <w:tcPr>
            <w:tcW w:w="1606" w:type="dxa"/>
            <w:vAlign w:val="center"/>
          </w:tcPr>
          <w:p>
            <w:pPr>
              <w:jc w:val="center"/>
            </w:pPr>
            <w:r>
              <w:rPr>
                <w:rFonts w:hint="eastAsia"/>
              </w:rPr>
              <w:t>4.846</w:t>
            </w:r>
          </w:p>
        </w:tc>
        <w:tc>
          <w:tcPr>
            <w:tcW w:w="1588" w:type="dxa"/>
            <w:noWrap/>
            <w:vAlign w:val="center"/>
          </w:tcPr>
          <w:p>
            <w:pPr>
              <w:jc w:val="center"/>
            </w:pPr>
            <w:r>
              <w:rPr>
                <w:rFonts w:hint="eastAsia"/>
              </w:rPr>
              <w:t>10.87%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实习</w:t>
            </w:r>
          </w:p>
        </w:tc>
        <w:tc>
          <w:tcPr>
            <w:tcW w:w="1071" w:type="dxa"/>
            <w:vAlign w:val="center"/>
          </w:tcPr>
          <w:p>
            <w:pPr>
              <w:jc w:val="center"/>
            </w:pPr>
            <w:r>
              <w:rPr>
                <w:rFonts w:hint="eastAsia"/>
              </w:rPr>
              <w:t>必修</w:t>
            </w:r>
          </w:p>
        </w:tc>
        <w:tc>
          <w:tcPr>
            <w:tcW w:w="1378" w:type="dxa"/>
            <w:vAlign w:val="center"/>
          </w:tcPr>
          <w:p>
            <w:pPr>
              <w:jc w:val="center"/>
            </w:pPr>
            <w:r>
              <w:rPr>
                <w:rFonts w:hint="eastAsia"/>
              </w:rPr>
              <w:t>0</w:t>
            </w:r>
          </w:p>
        </w:tc>
        <w:tc>
          <w:tcPr>
            <w:tcW w:w="1379" w:type="dxa"/>
            <w:vAlign w:val="center"/>
          </w:tcPr>
          <w:p>
            <w:pPr>
              <w:jc w:val="center"/>
            </w:pPr>
            <w:r>
              <w:rPr>
                <w:rFonts w:hint="eastAsia"/>
              </w:rPr>
              <w:t>1200</w:t>
            </w:r>
          </w:p>
        </w:tc>
        <w:tc>
          <w:tcPr>
            <w:tcW w:w="1606" w:type="dxa"/>
            <w:vAlign w:val="center"/>
          </w:tcPr>
          <w:p>
            <w:pPr>
              <w:jc w:val="center"/>
            </w:pPr>
            <w:r>
              <w:rPr>
                <w:rFonts w:hint="eastAsia"/>
              </w:rPr>
              <w:t>0</w:t>
            </w:r>
          </w:p>
        </w:tc>
        <w:tc>
          <w:tcPr>
            <w:tcW w:w="1588" w:type="dxa"/>
            <w:noWrap/>
            <w:vAlign w:val="center"/>
          </w:tcPr>
          <w:p>
            <w:pPr>
              <w:jc w:val="center"/>
            </w:pPr>
            <w:r>
              <w:rPr>
                <w:rFonts w:hint="eastAsia"/>
              </w:rPr>
              <w:t>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合计</w:t>
            </w:r>
          </w:p>
        </w:tc>
        <w:tc>
          <w:tcPr>
            <w:tcW w:w="1071" w:type="dxa"/>
            <w:vAlign w:val="center"/>
          </w:tcPr>
          <w:p>
            <w:pPr>
              <w:jc w:val="center"/>
            </w:pPr>
          </w:p>
        </w:tc>
        <w:tc>
          <w:tcPr>
            <w:tcW w:w="1378" w:type="dxa"/>
            <w:vAlign w:val="center"/>
          </w:tcPr>
          <w:p>
            <w:pPr>
              <w:jc w:val="center"/>
            </w:pPr>
            <w:r>
              <w:rPr>
                <w:rFonts w:hint="eastAsia"/>
              </w:rPr>
              <w:t>1106</w:t>
            </w:r>
          </w:p>
        </w:tc>
        <w:tc>
          <w:tcPr>
            <w:tcW w:w="1379" w:type="dxa"/>
            <w:vAlign w:val="center"/>
          </w:tcPr>
          <w:p>
            <w:pPr>
              <w:jc w:val="center"/>
            </w:pPr>
            <w:r>
              <w:rPr>
                <w:rFonts w:hint="eastAsia"/>
              </w:rPr>
              <w:t>1850</w:t>
            </w:r>
          </w:p>
        </w:tc>
        <w:tc>
          <w:tcPr>
            <w:tcW w:w="1606" w:type="dxa"/>
            <w:vAlign w:val="center"/>
          </w:tcPr>
          <w:p>
            <w:pPr>
              <w:jc w:val="center"/>
            </w:pPr>
            <w:r>
              <w:rPr>
                <w:rFonts w:hint="eastAsia"/>
              </w:rPr>
              <w:t>0.597</w:t>
            </w:r>
          </w:p>
        </w:tc>
        <w:tc>
          <w:tcPr>
            <w:tcW w:w="1588" w:type="dxa"/>
            <w:noWrap/>
            <w:vAlign w:val="center"/>
          </w:tcPr>
          <w:p>
            <w:pPr>
              <w:jc w:val="center"/>
            </w:pPr>
            <w:r>
              <w:rPr>
                <w:rFonts w:hint="eastAsia"/>
              </w:rPr>
              <w:t>100%</w:t>
            </w:r>
          </w:p>
        </w:tc>
      </w:tr>
    </w:tbl>
    <w:p>
      <w:pPr>
        <w:adjustRightInd w:val="0"/>
        <w:snapToGrid w:val="0"/>
        <w:spacing w:line="360" w:lineRule="auto"/>
        <w:ind w:firstLine="482" w:firstLineChars="200"/>
        <w:rPr>
          <w:rFonts w:ascii="宋体" w:hAnsi="宋体" w:eastAsia="宋体" w:cs="宋体"/>
          <w:b/>
          <w:sz w:val="24"/>
        </w:rPr>
      </w:pPr>
    </w:p>
    <w:p>
      <w:pPr>
        <w:adjustRightInd w:val="0"/>
        <w:snapToGrid w:val="0"/>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表4 教学活动时间分配表</w:t>
      </w:r>
    </w:p>
    <w:tbl>
      <w:tblPr>
        <w:tblStyle w:val="8"/>
        <w:tblW w:w="8972" w:type="dxa"/>
        <w:jc w:val="center"/>
        <w:tblLayout w:type="fixed"/>
        <w:tblCellMar>
          <w:top w:w="0" w:type="dxa"/>
          <w:left w:w="0" w:type="dxa"/>
          <w:bottom w:w="0" w:type="dxa"/>
          <w:right w:w="0" w:type="dxa"/>
        </w:tblCellMar>
      </w:tblPr>
      <w:tblGrid>
        <w:gridCol w:w="1080"/>
        <w:gridCol w:w="1080"/>
        <w:gridCol w:w="857"/>
        <w:gridCol w:w="1303"/>
        <w:gridCol w:w="962"/>
        <w:gridCol w:w="1005"/>
        <w:gridCol w:w="1065"/>
        <w:gridCol w:w="735"/>
        <w:gridCol w:w="885"/>
      </w:tblGrid>
      <w:tr>
        <w:tblPrEx>
          <w:tblCellMar>
            <w:top w:w="0" w:type="dxa"/>
            <w:left w:w="0" w:type="dxa"/>
            <w:bottom w:w="0" w:type="dxa"/>
            <w:right w:w="0" w:type="dxa"/>
          </w:tblCellMar>
        </w:tblPrEx>
        <w:trPr>
          <w:trHeight w:val="9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学期</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教学周（含节假日）</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考核</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军事理论</w:t>
            </w:r>
          </w:p>
          <w:p>
            <w:pPr>
              <w:jc w:val="center"/>
            </w:pPr>
            <w:r>
              <w:rPr>
                <w:rFonts w:hint="eastAsia"/>
              </w:rPr>
              <w:t>与技能</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w:t>
            </w:r>
          </w:p>
          <w:p>
            <w:pPr>
              <w:jc w:val="center"/>
            </w:pPr>
            <w:r>
              <w:rPr>
                <w:rFonts w:hint="eastAsia"/>
              </w:rPr>
              <w:t>教育</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见习</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社会</w:t>
            </w:r>
          </w:p>
          <w:p>
            <w:pPr>
              <w:jc w:val="center"/>
            </w:pPr>
            <w:r>
              <w:rPr>
                <w:rFonts w:hint="eastAsia"/>
              </w:rPr>
              <w:t>实践</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 实习</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17</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13</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62</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120</w:t>
            </w:r>
          </w:p>
        </w:tc>
      </w:tr>
    </w:tbl>
    <w:p>
      <w:pPr>
        <w:adjustRightInd w:val="0"/>
        <w:snapToGrid w:val="0"/>
        <w:spacing w:line="360" w:lineRule="auto"/>
        <w:rPr>
          <w:rFonts w:ascii="宋体" w:hAnsi="宋体" w:eastAsia="宋体" w:cs="宋体"/>
          <w:b/>
          <w:sz w:val="24"/>
        </w:rPr>
      </w:pPr>
      <w:r>
        <w:rPr>
          <w:rFonts w:hint="eastAsia" w:ascii="宋体" w:hAnsi="宋体" w:eastAsia="宋体" w:cs="宋体"/>
          <w:b/>
          <w:sz w:val="24"/>
        </w:rPr>
        <w:t>八、实施保障</w:t>
      </w:r>
      <w:bookmarkStart w:id="11" w:name="_Toc525414589"/>
      <w:bookmarkStart w:id="12" w:name="_Toc521082836"/>
      <w:bookmarkStart w:id="13" w:name="_Toc527369375"/>
      <w:bookmarkStart w:id="14" w:name="_Toc525381619"/>
      <w:bookmarkStart w:id="15" w:name="_Toc521083036"/>
    </w:p>
    <w:p>
      <w:pPr>
        <w:adjustRightInd w:val="0"/>
        <w:snapToGrid w:val="0"/>
        <w:spacing w:line="360" w:lineRule="auto"/>
        <w:ind w:firstLine="241" w:firstLineChars="100"/>
        <w:rPr>
          <w:rFonts w:ascii="宋体" w:hAnsi="宋体" w:eastAsia="宋体" w:cs="宋体"/>
          <w:b/>
          <w:bCs/>
          <w:sz w:val="24"/>
        </w:rPr>
      </w:pPr>
      <w:r>
        <w:rPr>
          <w:rFonts w:hint="eastAsia" w:ascii="宋体" w:hAnsi="宋体" w:eastAsia="宋体" w:cs="宋体"/>
          <w:b/>
          <w:bCs/>
          <w:sz w:val="24"/>
        </w:rPr>
        <w:t>（一）师资队伍</w:t>
      </w:r>
      <w:bookmarkEnd w:id="11"/>
      <w:bookmarkEnd w:id="12"/>
      <w:bookmarkEnd w:id="13"/>
      <w:bookmarkEnd w:id="14"/>
      <w:bookmarkEnd w:id="15"/>
    </w:p>
    <w:p>
      <w:pPr>
        <w:spacing w:line="360" w:lineRule="auto"/>
        <w:ind w:firstLine="480" w:firstLineChars="200"/>
        <w:rPr>
          <w:rFonts w:ascii="宋体" w:hAnsi="宋体" w:eastAsia="宋体" w:cs="宋体"/>
          <w:sz w:val="24"/>
        </w:rPr>
      </w:pPr>
      <w:bookmarkStart w:id="16" w:name="_Toc525414590"/>
      <w:bookmarkStart w:id="17" w:name="_Toc527369376"/>
      <w:bookmarkStart w:id="18" w:name="_Toc525381620"/>
      <w:bookmarkStart w:id="19" w:name="_Toc521083037"/>
      <w:bookmarkStart w:id="20" w:name="_Toc521082837"/>
      <w:r>
        <w:rPr>
          <w:rFonts w:hint="eastAsia" w:ascii="宋体" w:hAnsi="宋体" w:eastAsia="宋体" w:cs="宋体"/>
          <w:sz w:val="24"/>
        </w:rPr>
        <w:t>有高水平的学科带头人2名、专业骨干教师4名。专任教师队伍数量足够，年龄、学历结构合理，具有“双师”素质教师占70%以上，具有行业企业生产一线工作经历的达40％以上，高级职称的比例达25%以上，硕士以上学位的教师达50%以上。聘请行业企业的技术专家4-6名，初步形成实践技能课程和顶岗实习主要由兼职教师讲授和能工巧匠指导的机制，专兼职教师比例达到1：1以上。校内实训指导教师具有高级工以上职业资格证书或2年以上相关企业工作经历。</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（二）教学设施</w:t>
      </w:r>
      <w:bookmarkEnd w:id="16"/>
      <w:bookmarkEnd w:id="17"/>
      <w:bookmarkEnd w:id="18"/>
      <w:bookmarkEnd w:id="19"/>
      <w:bookmarkEnd w:id="20"/>
    </w:p>
    <w:p>
      <w:pPr>
        <w:pStyle w:val="4"/>
        <w:spacing w:line="360" w:lineRule="auto"/>
        <w:ind w:firstLine="482" w:firstLineChars="200"/>
        <w:rPr>
          <w:rFonts w:ascii="宋体" w:hAnsi="宋体" w:eastAsia="宋体" w:cs="宋体"/>
          <w:sz w:val="24"/>
        </w:rPr>
      </w:pPr>
      <w:r>
        <w:rPr>
          <w:rFonts w:hint="eastAsia" w:ascii="宋体" w:hAnsi="宋体" w:eastAsia="宋体" w:cs="宋体"/>
          <w:sz w:val="24"/>
        </w:rPr>
        <w:t>1.校内实训</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专业与行业企业紧密结合，系统设计、实施生产性实训和顶岗实习，探索建立“校中厂”、“厂中校”等形式的实践教学基地。学校应按照本专业教学计划、教学大纲的要求，设置与本专业所开设课程相适应的教学实验实训基地，购置必要的实验实训教学仪器设备。实验实训教学仪器设备的总值不少于900万元，并且根据学校五年规划本专业招生总数，生均不少于0.5万元。</w:t>
      </w:r>
    </w:p>
    <w:p>
      <w:pPr>
        <w:spacing w:line="360" w:lineRule="auto"/>
        <w:ind w:firstLine="482" w:firstLineChars="200"/>
        <w:jc w:val="center"/>
        <w:rPr>
          <w:rFonts w:ascii="宋体" w:hAnsi="宋体" w:eastAsia="宋体" w:cs="宋体"/>
          <w:b/>
          <w:bCs/>
          <w:sz w:val="24"/>
        </w:rPr>
      </w:pPr>
      <w:r>
        <w:rPr>
          <w:rFonts w:hint="eastAsia" w:ascii="宋体" w:hAnsi="宋体" w:eastAsia="宋体" w:cs="宋体"/>
          <w:b/>
          <w:bCs/>
          <w:sz w:val="24"/>
        </w:rPr>
        <w:t>表5   中药学专业实验实训主要仪器设备一览表</w:t>
      </w:r>
    </w:p>
    <w:tbl>
      <w:tblPr>
        <w:tblStyle w:val="8"/>
        <w:tblW w:w="8781" w:type="dxa"/>
        <w:tblInd w:w="4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3201"/>
        <w:gridCol w:w="924"/>
        <w:gridCol w:w="3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序号</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仪器设备名称</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序号</w:t>
            </w:r>
          </w:p>
        </w:tc>
        <w:tc>
          <w:tcPr>
            <w:tcW w:w="3767" w:type="dxa"/>
            <w:vAlign w:val="center"/>
          </w:tcPr>
          <w:p>
            <w:pPr>
              <w:spacing w:line="360" w:lineRule="auto"/>
              <w:ind w:left="-675" w:firstLine="420" w:firstLineChars="200"/>
              <w:jc w:val="center"/>
              <w:rPr>
                <w:rFonts w:ascii="宋体" w:hAnsi="宋体" w:eastAsia="宋体" w:cs="宋体"/>
                <w:szCs w:val="21"/>
              </w:rPr>
            </w:pPr>
            <w:r>
              <w:rPr>
                <w:rFonts w:hint="eastAsia" w:ascii="宋体" w:hAnsi="宋体" w:eastAsia="宋体" w:cs="宋体"/>
                <w:szCs w:val="21"/>
              </w:rPr>
              <w:t>仪器设备名称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1</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显微镜</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22</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智能溶出度测定仪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2</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超净工作台</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23</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3</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滴定装置</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24</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栓剂熔变时限测定仪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4</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崩解时限测定仪</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25</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电子天平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5</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高温炉</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26</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三用紫外分析仪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6</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干燥箱</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27</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阿贝折光仪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7</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磁力搅拌器</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28</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旋光仪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8</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电动搅拌机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29</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自动永停滴定仪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9</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减压循环水泵</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30</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红外分光光度计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10</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抽滤装置</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31</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熔点测定仪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11</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蒸馏装置</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32</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高效液相色谱仪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ind w:firstLine="210" w:firstLineChars="100"/>
              <w:rPr>
                <w:rFonts w:ascii="宋体" w:hAnsi="宋体" w:eastAsia="宋体" w:cs="宋体"/>
                <w:szCs w:val="21"/>
              </w:rPr>
            </w:pPr>
            <w:r>
              <w:rPr>
                <w:rFonts w:hint="eastAsia" w:ascii="宋体" w:hAnsi="宋体" w:eastAsia="宋体" w:cs="宋体"/>
                <w:szCs w:val="21"/>
              </w:rPr>
              <w:t>12</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减压蒸馏装置</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33</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13</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旋转蒸发器</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34</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滚筒式洗药机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14</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颗粒机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35</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煎药机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15</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压片机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36</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煅药机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16</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全自动胶囊充填机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37</w:t>
            </w:r>
          </w:p>
        </w:tc>
        <w:tc>
          <w:tcPr>
            <w:tcW w:w="3767" w:type="dxa"/>
            <w:tcMar>
              <w:left w:w="1701" w:type="dxa"/>
            </w:tcMar>
            <w:vAlign w:val="center"/>
          </w:tcPr>
          <w:p>
            <w:pPr>
              <w:spacing w:line="360" w:lineRule="auto"/>
              <w:ind w:left="-1698" w:firstLine="420" w:firstLineChars="200"/>
              <w:jc w:val="center"/>
              <w:rPr>
                <w:rFonts w:ascii="宋体" w:hAnsi="宋体" w:eastAsia="宋体" w:cs="宋体"/>
                <w:szCs w:val="21"/>
              </w:rPr>
            </w:pPr>
            <w:r>
              <w:rPr>
                <w:rFonts w:hint="eastAsia" w:ascii="宋体" w:hAnsi="宋体" w:eastAsia="宋体" w:cs="宋体"/>
                <w:szCs w:val="21"/>
              </w:rPr>
              <w:t>破碎机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17</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包衣机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38</w:t>
            </w:r>
          </w:p>
        </w:tc>
        <w:tc>
          <w:tcPr>
            <w:tcW w:w="3767" w:type="dxa"/>
            <w:vAlign w:val="center"/>
          </w:tcPr>
          <w:p>
            <w:pPr>
              <w:spacing w:line="360" w:lineRule="auto"/>
              <w:ind w:left="-133" w:firstLine="420" w:firstLineChars="200"/>
              <w:jc w:val="center"/>
              <w:rPr>
                <w:rFonts w:ascii="宋体" w:hAnsi="宋体" w:eastAsia="宋体" w:cs="宋体"/>
                <w:szCs w:val="21"/>
              </w:rPr>
            </w:pPr>
            <w:r>
              <w:rPr>
                <w:rFonts w:hint="eastAsia" w:ascii="宋体" w:hAnsi="宋体" w:eastAsia="宋体" w:cs="宋体"/>
                <w:szCs w:val="21"/>
              </w:rPr>
              <w:t>轧扁机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18</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脆碎度测定仪</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39</w:t>
            </w:r>
          </w:p>
        </w:tc>
        <w:tc>
          <w:tcPr>
            <w:tcW w:w="3767" w:type="dxa"/>
            <w:vAlign w:val="center"/>
          </w:tcPr>
          <w:p>
            <w:pPr>
              <w:spacing w:line="360" w:lineRule="auto"/>
              <w:ind w:left="-133" w:firstLine="420" w:firstLineChars="200"/>
              <w:jc w:val="center"/>
              <w:rPr>
                <w:rFonts w:ascii="宋体" w:hAnsi="宋体" w:eastAsia="宋体" w:cs="宋体"/>
                <w:szCs w:val="21"/>
              </w:rPr>
            </w:pPr>
            <w:r>
              <w:rPr>
                <w:rFonts w:hint="eastAsia" w:ascii="宋体" w:hAnsi="宋体" w:eastAsia="宋体" w:cs="宋体"/>
                <w:szCs w:val="21"/>
              </w:rPr>
              <w:t>剁刀式切药机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19</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澄明度检测仪</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40</w:t>
            </w:r>
          </w:p>
        </w:tc>
        <w:tc>
          <w:tcPr>
            <w:tcW w:w="3767" w:type="dxa"/>
            <w:vAlign w:val="center"/>
          </w:tcPr>
          <w:p>
            <w:pPr>
              <w:spacing w:line="360" w:lineRule="auto"/>
              <w:ind w:left="-133" w:firstLine="420" w:firstLineChars="200"/>
              <w:jc w:val="center"/>
              <w:rPr>
                <w:rFonts w:ascii="宋体" w:hAnsi="宋体" w:eastAsia="宋体" w:cs="宋体"/>
                <w:szCs w:val="21"/>
              </w:rPr>
            </w:pPr>
            <w:r>
              <w:rPr>
                <w:rFonts w:hint="eastAsia" w:ascii="宋体" w:hAnsi="宋体" w:eastAsia="宋体" w:cs="宋体"/>
                <w:szCs w:val="21"/>
              </w:rPr>
              <w:t>旋转式切药机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20</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紫外-可见分光光度计</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41</w:t>
            </w:r>
          </w:p>
        </w:tc>
        <w:tc>
          <w:tcPr>
            <w:tcW w:w="3767" w:type="dxa"/>
            <w:vAlign w:val="center"/>
          </w:tcPr>
          <w:p>
            <w:pPr>
              <w:spacing w:line="360" w:lineRule="auto"/>
              <w:ind w:left="-133" w:firstLine="420" w:firstLineChars="200"/>
              <w:jc w:val="center"/>
              <w:rPr>
                <w:rFonts w:ascii="宋体" w:hAnsi="宋体" w:eastAsia="宋体" w:cs="宋体"/>
                <w:szCs w:val="21"/>
              </w:rPr>
            </w:pPr>
            <w:r>
              <w:rPr>
                <w:rFonts w:hint="eastAsia" w:ascii="宋体" w:hAnsi="宋体" w:eastAsia="宋体" w:cs="宋体"/>
                <w:szCs w:val="21"/>
              </w:rPr>
              <w:t>筛药机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9"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21</w:t>
            </w:r>
          </w:p>
        </w:tc>
        <w:tc>
          <w:tcPr>
            <w:tcW w:w="3201" w:type="dxa"/>
            <w:vAlign w:val="center"/>
          </w:tcPr>
          <w:p>
            <w:pPr>
              <w:spacing w:line="360" w:lineRule="auto"/>
              <w:ind w:left="15" w:firstLine="420" w:firstLineChars="200"/>
              <w:jc w:val="center"/>
              <w:rPr>
                <w:rFonts w:ascii="宋体" w:hAnsi="宋体" w:eastAsia="宋体" w:cs="宋体"/>
                <w:szCs w:val="21"/>
              </w:rPr>
            </w:pPr>
            <w:r>
              <w:rPr>
                <w:rFonts w:hint="eastAsia" w:ascii="宋体" w:hAnsi="宋体" w:eastAsia="宋体" w:cs="宋体"/>
                <w:szCs w:val="21"/>
              </w:rPr>
              <w:t>参茸中药切片机</w:t>
            </w:r>
          </w:p>
        </w:tc>
        <w:tc>
          <w:tcPr>
            <w:tcW w:w="92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42</w:t>
            </w:r>
          </w:p>
        </w:tc>
        <w:tc>
          <w:tcPr>
            <w:tcW w:w="3767" w:type="dxa"/>
            <w:vAlign w:val="center"/>
          </w:tcPr>
          <w:p>
            <w:pPr>
              <w:spacing w:line="360" w:lineRule="auto"/>
              <w:ind w:left="-133" w:firstLine="420" w:firstLineChars="200"/>
              <w:jc w:val="center"/>
              <w:rPr>
                <w:rFonts w:ascii="宋体" w:hAnsi="宋体" w:eastAsia="宋体" w:cs="宋体"/>
                <w:szCs w:val="21"/>
              </w:rPr>
            </w:pPr>
            <w:r>
              <w:rPr>
                <w:rFonts w:hint="eastAsia" w:ascii="宋体" w:hAnsi="宋体" w:eastAsia="宋体" w:cs="宋体"/>
                <w:szCs w:val="21"/>
              </w:rPr>
              <w:t>炒药机</w:t>
            </w:r>
          </w:p>
        </w:tc>
      </w:tr>
    </w:tbl>
    <w:p>
      <w:pPr>
        <w:pStyle w:val="4"/>
        <w:spacing w:line="360" w:lineRule="auto"/>
        <w:ind w:firstLine="482" w:firstLineChars="200"/>
        <w:rPr>
          <w:rFonts w:ascii="宋体" w:hAnsi="宋体" w:eastAsia="宋体" w:cs="宋体"/>
          <w:sz w:val="24"/>
        </w:rPr>
      </w:pPr>
      <w:r>
        <w:rPr>
          <w:rFonts w:hint="eastAsia" w:ascii="宋体" w:hAnsi="宋体" w:eastAsia="宋体" w:cs="宋体"/>
          <w:sz w:val="24"/>
        </w:rPr>
        <w:t>2.实习、见习</w:t>
      </w:r>
    </w:p>
    <w:p>
      <w:pPr>
        <w:pStyle w:val="11"/>
        <w:spacing w:line="360" w:lineRule="auto"/>
        <w:ind w:firstLine="480" w:firstLineChars="200"/>
        <w:rPr>
          <w:rFonts w:ascii="宋体" w:hAnsi="宋体" w:eastAsia="宋体" w:cs="宋体"/>
          <w:sz w:val="24"/>
          <w:lang w:val="zh-CN"/>
        </w:rPr>
      </w:pPr>
      <w:r>
        <w:rPr>
          <w:rFonts w:hint="eastAsia" w:ascii="宋体" w:hAnsi="宋体" w:eastAsia="宋体" w:cs="宋体"/>
          <w:sz w:val="24"/>
        </w:rPr>
        <w:t>2.1</w:t>
      </w:r>
      <w:r>
        <w:rPr>
          <w:rFonts w:hint="eastAsia" w:ascii="宋体" w:hAnsi="宋体" w:eastAsia="宋体" w:cs="宋体"/>
          <w:sz w:val="24"/>
          <w:lang w:val="zh-CN"/>
        </w:rPr>
        <w:t>有长期、稳定的教学实训和毕业实习医院 、药厂、中药饮片厂、医药公司35间，均签订有协议，制定完善的实习制度并建立专门机构（实习办公室）管理实习，第五、六学期，安排学生在医院 、医药公司、药厂、中药饮片厂等技术岗位实习，满足</w:t>
      </w:r>
      <w:r>
        <w:rPr>
          <w:rFonts w:hint="eastAsia" w:ascii="宋体" w:hAnsi="宋体" w:eastAsia="宋体" w:cs="宋体"/>
          <w:sz w:val="24"/>
        </w:rPr>
        <w:t>中药学</w:t>
      </w:r>
      <w:r>
        <w:rPr>
          <w:rFonts w:hint="eastAsia" w:ascii="宋体" w:hAnsi="宋体" w:eastAsia="宋体" w:cs="宋体"/>
          <w:sz w:val="24"/>
          <w:lang w:val="zh-CN"/>
        </w:rPr>
        <w:t>专业学生毕业实习的需要。</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2.2毕业实习是实践教学的主要形式之一，是执行教学计划和课程大纲的关键环节。通过实习，培养学生良好的职业道德和职业能力，使学生具备就业所必需的能力和经历。实习中应有良好的交流、沟通能力，团队合作精神和良好的服务意识，达到专业培养目标的要求。</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根据中药学专业岗位特点，经与实习单位协商，中药学专业学生在进入顶岗实习前，均需安排相应时间的跟岗实习，在掌握相应岗位的技能后，经单位考核合格后再进行顶岗实习，具体安排如下：安排在第五、六学期进行，共40周，其中跟岗实习16周、顶岗实习24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（1）跟岗实习16周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医药公司：门店管理岗位8周 ，药品采购4周，药库管理4周；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药厂：中药提取生产岗位4周，固体制剂生产与管理岗位4周，药品质量管理岗位4周，药品研发岗位4周；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医院药剂科：药房药品调剂与管理岗位8周，药库管理8周；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中药饮片厂：中药前处理与中药切制4周，中药炮制加工8周，包装4周。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（2）顶岗实习24周：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医药公司：门店管理岗位8周，药品采购8周，药库管理8周；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药厂：中药提取生产岗位4周，固体制剂生产与管理岗位12周，药品质量管理岗位4周，药品研发岗位4周；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医院药剂科：药房药品调剂与管理12周，药库管理岗位12周；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中药饮片厂：中药前处理与中药切制8周，中药炮制加工8周，包装4周，药品生产与质量管理岗位4周。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以上可以根据就业岗位调整。</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 xml:space="preserve"> （三）教学资源</w:t>
      </w:r>
    </w:p>
    <w:p>
      <w:pPr>
        <w:pStyle w:val="3"/>
        <w:spacing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lang w:val="zh-CN"/>
        </w:rPr>
        <w:t>已建成中药学专业教学资源库</w:t>
      </w:r>
      <w:r>
        <w:rPr>
          <w:rFonts w:hint="eastAsia" w:ascii="宋体" w:hAnsi="宋体" w:eastAsia="宋体" w:cs="宋体"/>
          <w:sz w:val="24"/>
          <w:szCs w:val="24"/>
          <w:lang w:val="zh-CN"/>
        </w:rPr>
        <w:t>，</w:t>
      </w:r>
      <w:r>
        <w:rPr>
          <w:rFonts w:hint="eastAsia" w:ascii="宋体" w:hAnsi="宋体" w:eastAsia="宋体" w:cs="宋体"/>
          <w:b w:val="0"/>
          <w:bCs w:val="0"/>
          <w:sz w:val="24"/>
          <w:szCs w:val="24"/>
        </w:rPr>
        <w:t>依托职教云教学平台，搭建多门专业基础课及专业核心课程，保证学生能在课前预习、课中学习及课后复习，同进探索线上线下混合式教学模式并最终实现终身学习的目标。</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（四）教学方法</w:t>
      </w:r>
    </w:p>
    <w:p>
      <w:pPr>
        <w:spacing w:line="360" w:lineRule="auto"/>
        <w:ind w:firstLine="480" w:firstLineChars="200"/>
        <w:rPr>
          <w:rFonts w:ascii="宋体" w:hAnsi="宋体" w:eastAsia="宋体" w:cs="宋体"/>
          <w:sz w:val="24"/>
        </w:rPr>
      </w:pPr>
      <w:r>
        <w:rPr>
          <w:rFonts w:hint="eastAsia" w:ascii="宋体" w:hAnsi="宋体" w:eastAsia="宋体" w:cs="宋体"/>
          <w:sz w:val="24"/>
        </w:rPr>
        <w:t>本专业教师根据高职教育和医药行业的特点，充分利用药用植物园、中药炮制设备实训室等校内外实训基地，在中药鉴定技术、中药炮制技术等课程的具体教学过程中大量采用项目教学法、小组技术比拼、技能训练、情景教学等方法，融“教、学、做”为一体，取得了很好的效果，形成明显特色的教学方法有：</w:t>
      </w:r>
    </w:p>
    <w:p>
      <w:pPr>
        <w:spacing w:line="360" w:lineRule="auto"/>
        <w:ind w:firstLine="480" w:firstLineChars="200"/>
        <w:rPr>
          <w:rFonts w:ascii="宋体" w:hAnsi="宋体" w:eastAsia="宋体" w:cs="宋体"/>
          <w:sz w:val="24"/>
        </w:rPr>
      </w:pPr>
      <w:r>
        <w:rPr>
          <w:rFonts w:hint="eastAsia" w:ascii="宋体" w:hAnsi="宋体" w:eastAsia="宋体" w:cs="宋体"/>
          <w:sz w:val="24"/>
        </w:rPr>
        <w:t>1.项目教学法：教师布置项目任务→引导学生学习必要的相关知识→学生查阅资料→完成设计方案→教师指导下实施方案并进行考核→整理记录和完成实训报告→综合考核和评分，学生通过查阅资料、设计实施方案，提高了自主学习的能力和积极性。</w:t>
      </w:r>
    </w:p>
    <w:p>
      <w:pPr>
        <w:spacing w:line="360" w:lineRule="auto"/>
        <w:ind w:firstLine="480" w:firstLineChars="200"/>
        <w:rPr>
          <w:rFonts w:ascii="宋体" w:hAnsi="宋体" w:eastAsia="宋体" w:cs="宋体"/>
          <w:sz w:val="24"/>
        </w:rPr>
      </w:pPr>
      <w:r>
        <w:rPr>
          <w:rFonts w:hint="eastAsia" w:ascii="宋体" w:hAnsi="宋体" w:eastAsia="宋体" w:cs="宋体"/>
          <w:sz w:val="24"/>
        </w:rPr>
        <w:t>2.仿真技能训练：即主要专业课在一体化训室中进行，教师“边讲边演示”，学生“边学边练”，“教、学、做”为一体，有效地提高了专业技能训练的效果。</w:t>
      </w:r>
    </w:p>
    <w:p>
      <w:pPr>
        <w:spacing w:line="360" w:lineRule="auto"/>
        <w:ind w:firstLine="480" w:firstLineChars="200"/>
        <w:rPr>
          <w:rFonts w:ascii="宋体" w:hAnsi="宋体" w:eastAsia="宋体" w:cs="宋体"/>
          <w:sz w:val="24"/>
        </w:rPr>
      </w:pPr>
      <w:r>
        <w:rPr>
          <w:rFonts w:hint="eastAsia" w:ascii="宋体" w:hAnsi="宋体" w:eastAsia="宋体" w:cs="宋体"/>
          <w:sz w:val="24"/>
        </w:rPr>
        <w:t>3.小组技术比拼法：有些教学内容如种子的萌发，中药材加工等采用小组技术比拼法进行教学，学生以小组为单位，进行方案设计、材料准备、陈列摆放，小组解说，老师点评，得出比拼结果。通过比拼加强了团队协作及与人沟通的能力，启迪了学生的思维，强化了职业技能，取得了良好的教学效果。</w:t>
      </w:r>
    </w:p>
    <w:p>
      <w:pPr>
        <w:spacing w:line="360" w:lineRule="auto"/>
        <w:ind w:firstLine="480" w:firstLineChars="200"/>
        <w:rPr>
          <w:rFonts w:ascii="宋体" w:hAnsi="宋体" w:eastAsia="宋体" w:cs="宋体"/>
          <w:sz w:val="24"/>
        </w:rPr>
      </w:pPr>
      <w:r>
        <w:rPr>
          <w:rFonts w:hint="eastAsia" w:ascii="宋体" w:hAnsi="宋体" w:eastAsia="宋体" w:cs="宋体"/>
          <w:sz w:val="24"/>
        </w:rPr>
        <w:t>4.情景教学法：部分专业课程组织学生到行业企业进行现场教学，行业企业专家在真实的工作情景中边讲、边示范，学生边听边实操，使学生置身真实的工作环境中学习，提高了学生对行业企业的认识，激发了他们学习的兴趣，也有效地提高了学生的专业技能。</w:t>
      </w:r>
    </w:p>
    <w:p>
      <w:pPr>
        <w:spacing w:line="360" w:lineRule="auto"/>
        <w:ind w:firstLine="480" w:firstLineChars="200"/>
        <w:rPr>
          <w:rFonts w:ascii="宋体" w:hAnsi="宋体" w:eastAsia="宋体" w:cs="宋体"/>
          <w:sz w:val="24"/>
        </w:rPr>
      </w:pPr>
      <w:r>
        <w:rPr>
          <w:rFonts w:hint="eastAsia" w:ascii="宋体" w:hAnsi="宋体" w:eastAsia="宋体" w:cs="宋体"/>
          <w:sz w:val="24"/>
        </w:rPr>
        <w:t>5.专题讲座及授课：邀请行业一线人员，对师生进行专业知识、技术新进展、职业素养培养等问题的专题讲座，增强学生的学习兴趣，调动学习积极性培养综合素质和能力。</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（五）教学评价</w:t>
      </w:r>
    </w:p>
    <w:p>
      <w:pPr>
        <w:spacing w:line="360" w:lineRule="auto"/>
        <w:ind w:firstLine="480" w:firstLineChars="200"/>
        <w:rPr>
          <w:rFonts w:ascii="宋体" w:hAnsi="宋体" w:eastAsia="宋体" w:cs="宋体"/>
          <w:sz w:val="24"/>
        </w:rPr>
      </w:pPr>
      <w:r>
        <w:rPr>
          <w:rFonts w:hint="eastAsia" w:ascii="宋体" w:hAnsi="宋体" w:eastAsia="宋体" w:cs="宋体"/>
          <w:sz w:val="24"/>
        </w:rPr>
        <w:t>1.课程考核：将各课程考核方式分为两部分，一是形成性考核，占科目总成绩的40%，包括：平时作业、课堂考勤、学习态度、平时理论和技能考核等；二是终结性考核，占科目总成绩的60%，包括：期末理论考核、期末技能考核。</w:t>
      </w:r>
    </w:p>
    <w:p>
      <w:pPr>
        <w:spacing w:line="360" w:lineRule="auto"/>
        <w:ind w:firstLine="480" w:firstLineChars="200"/>
        <w:rPr>
          <w:rFonts w:ascii="宋体" w:hAnsi="宋体" w:eastAsia="宋体" w:cs="宋体"/>
          <w:sz w:val="24"/>
        </w:rPr>
      </w:pPr>
      <w:r>
        <w:rPr>
          <w:rFonts w:hint="eastAsia" w:ascii="宋体" w:hAnsi="宋体" w:eastAsia="宋体" w:cs="宋体"/>
          <w:sz w:val="24"/>
        </w:rPr>
        <w:t>2.实习考核：以实习单位为主，主要考核学生实习中的岗位职业能力、职业态度、团结协作、人际沟通能力等。</w:t>
      </w:r>
    </w:p>
    <w:p>
      <w:pPr>
        <w:spacing w:line="360" w:lineRule="auto"/>
        <w:ind w:firstLine="480" w:firstLineChars="200"/>
        <w:rPr>
          <w:rFonts w:ascii="宋体" w:hAnsi="宋体" w:eastAsia="宋体" w:cs="宋体"/>
          <w:sz w:val="24"/>
        </w:rPr>
      </w:pPr>
      <w:r>
        <w:rPr>
          <w:rFonts w:hint="eastAsia" w:ascii="宋体" w:hAnsi="宋体" w:eastAsia="宋体" w:cs="宋体"/>
          <w:sz w:val="24"/>
        </w:rPr>
        <w:t>3.评价：建立了较完善的教学质量保证和监控机制，教学秩序良好。通过巡课、听课、召开师生座谈会、教师评学、学生评教等活动，采取学生、同行、督导小组三层次评教，形成了科学的评教运行机制。</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（六）质量管理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教学管理要更新观念，为课程改革、教与学实施创造条件；要加强对教学过程的质量监控，促进教师教学能力的提升，保证教学质量。</w:t>
      </w:r>
    </w:p>
    <w:p>
      <w:pPr>
        <w:spacing w:line="360" w:lineRule="auto"/>
        <w:ind w:firstLine="480" w:firstLineChars="200"/>
        <w:rPr>
          <w:rFonts w:ascii="宋体" w:hAnsi="宋体" w:eastAsia="宋体" w:cs="宋体"/>
          <w:sz w:val="24"/>
        </w:rPr>
      </w:pPr>
      <w:r>
        <w:rPr>
          <w:rFonts w:hint="eastAsia" w:ascii="宋体" w:hAnsi="宋体" w:eastAsia="宋体" w:cs="宋体"/>
          <w:sz w:val="24"/>
        </w:rPr>
        <w:t>1.成立由行业专家、职业教育专家、教师及教学管理人员组成的专业建设和教学指导委员会，进行整体教育教学指导。</w:t>
      </w:r>
    </w:p>
    <w:p>
      <w:pPr>
        <w:spacing w:line="360" w:lineRule="auto"/>
        <w:ind w:firstLine="480" w:firstLineChars="200"/>
        <w:rPr>
          <w:rFonts w:ascii="宋体" w:hAnsi="宋体" w:eastAsia="宋体" w:cs="宋体"/>
          <w:sz w:val="24"/>
        </w:rPr>
      </w:pPr>
      <w:r>
        <w:rPr>
          <w:rFonts w:hint="eastAsia" w:ascii="宋体" w:hAnsi="宋体" w:eastAsia="宋体" w:cs="宋体"/>
          <w:sz w:val="24"/>
        </w:rPr>
        <w:t>2.教学管理工作应在规范性与灵活性的原则下，结合学校实际教学资源，体现专业特点，保证“教学做”三者相结合，提高教学效果。为实现学生的早接触实际工作、多接触实际工作，应合理安排课程，调配教师，组织与管理好教学，提高校内实训室课内外的使用效率，积极与校外实训基地协调合作，完成见习、实习计划。</w:t>
      </w:r>
    </w:p>
    <w:p>
      <w:pPr>
        <w:spacing w:line="360" w:lineRule="auto"/>
        <w:ind w:firstLine="480" w:firstLineChars="200"/>
        <w:rPr>
          <w:rFonts w:ascii="宋体" w:hAnsi="宋体" w:eastAsia="宋体" w:cs="宋体"/>
          <w:sz w:val="24"/>
        </w:rPr>
      </w:pPr>
      <w:r>
        <w:rPr>
          <w:rFonts w:hint="eastAsia" w:ascii="宋体" w:hAnsi="宋体" w:eastAsia="宋体" w:cs="宋体"/>
          <w:sz w:val="24"/>
        </w:rPr>
        <w:t>3.聘请中级以上职称的行业专家参与课程建设与教学活动，共同保证本标准的实施质量。</w:t>
      </w:r>
    </w:p>
    <w:p>
      <w:pPr>
        <w:spacing w:line="360" w:lineRule="auto"/>
        <w:ind w:firstLine="480" w:firstLineChars="200"/>
        <w:rPr>
          <w:rFonts w:ascii="宋体" w:hAnsi="宋体" w:eastAsia="宋体" w:cs="宋体"/>
          <w:sz w:val="24"/>
        </w:rPr>
      </w:pPr>
      <w:r>
        <w:rPr>
          <w:rFonts w:hint="eastAsia" w:ascii="宋体" w:hAnsi="宋体" w:eastAsia="宋体" w:cs="宋体"/>
          <w:sz w:val="24"/>
        </w:rPr>
        <w:t>4.建立教学质量监控与教科研体系，设立教学督导与教研管理机构，加强对教学过程的质量监控，改革教学评价的标准和方法，针对教学过程中的问题进行探索和研究，促进教师教学能力和科研水平的提升，保证教学质量。</w:t>
      </w:r>
    </w:p>
    <w:p>
      <w:pPr>
        <w:pStyle w:val="2"/>
        <w:spacing w:line="360" w:lineRule="auto"/>
        <w:ind w:firstLine="0"/>
        <w:rPr>
          <w:rFonts w:ascii="宋体" w:hAnsi="宋体" w:eastAsia="宋体" w:cs="宋体"/>
          <w:sz w:val="24"/>
          <w:szCs w:val="24"/>
        </w:rPr>
      </w:pPr>
      <w:bookmarkStart w:id="21" w:name="_Toc521083043"/>
      <w:bookmarkStart w:id="22" w:name="_Toc527369373"/>
      <w:bookmarkStart w:id="23" w:name="_Toc521082843"/>
      <w:bookmarkStart w:id="24" w:name="_Toc525381626"/>
      <w:bookmarkStart w:id="25" w:name="_Toc525414587"/>
      <w:r>
        <w:rPr>
          <w:rFonts w:hint="eastAsia" w:ascii="宋体" w:hAnsi="宋体" w:eastAsia="宋体" w:cs="宋体"/>
          <w:sz w:val="24"/>
          <w:szCs w:val="24"/>
        </w:rPr>
        <w:t>九、毕业要求</w:t>
      </w:r>
    </w:p>
    <w:bookmarkEnd w:id="21"/>
    <w:bookmarkEnd w:id="22"/>
    <w:bookmarkEnd w:id="23"/>
    <w:bookmarkEnd w:id="24"/>
    <w:bookmarkEnd w:id="25"/>
    <w:p>
      <w:pPr>
        <w:pStyle w:val="11"/>
        <w:spacing w:line="360" w:lineRule="auto"/>
        <w:ind w:firstLine="480" w:firstLineChars="200"/>
        <w:rPr>
          <w:rFonts w:ascii="宋体" w:hAnsi="宋体" w:eastAsia="宋体" w:cs="宋体"/>
          <w:b/>
          <w:sz w:val="24"/>
        </w:rPr>
      </w:pPr>
      <w:r>
        <w:rPr>
          <w:rFonts w:hint="eastAsia" w:ascii="宋体" w:hAnsi="宋体" w:eastAsia="宋体" w:cs="宋体"/>
          <w:bCs/>
          <w:sz w:val="24"/>
        </w:rPr>
        <w:t>1.修</w:t>
      </w:r>
      <w:r>
        <w:rPr>
          <w:rFonts w:hint="eastAsia" w:ascii="宋体" w:hAnsi="宋体" w:eastAsia="宋体" w:cs="宋体"/>
          <w:sz w:val="24"/>
        </w:rPr>
        <w:t>满本专业规定的学分，完成了规定的教学环节，符合国家教育部、广东省教育厅及学院对大专学历管理的要求，授予国家全日制普通高等教育专科学历证书。</w:t>
      </w:r>
    </w:p>
    <w:p>
      <w:pPr>
        <w:pStyle w:val="11"/>
        <w:spacing w:line="360" w:lineRule="auto"/>
        <w:ind w:firstLine="480" w:firstLineChars="200"/>
        <w:rPr>
          <w:rFonts w:ascii="宋体" w:hAnsi="宋体" w:eastAsia="宋体" w:cs="宋体"/>
          <w:sz w:val="24"/>
          <w:lang w:val="zh-CN"/>
        </w:rPr>
      </w:pPr>
      <w:r>
        <w:rPr>
          <w:rFonts w:hint="eastAsia" w:ascii="宋体" w:hAnsi="宋体" w:eastAsia="宋体" w:cs="宋体"/>
          <w:sz w:val="24"/>
        </w:rPr>
        <w:t>2.学分计算方法：</w:t>
      </w:r>
      <w:r>
        <w:rPr>
          <w:rFonts w:hint="eastAsia" w:ascii="宋体" w:hAnsi="宋体" w:eastAsia="宋体" w:cs="宋体"/>
          <w:sz w:val="24"/>
          <w:lang w:val="zh-CN"/>
        </w:rPr>
        <w:t>每学科每</w:t>
      </w:r>
      <w:r>
        <w:rPr>
          <w:rFonts w:hint="eastAsia" w:ascii="宋体" w:hAnsi="宋体" w:eastAsia="宋体" w:cs="宋体"/>
          <w:sz w:val="24"/>
        </w:rPr>
        <w:t>16</w:t>
      </w:r>
      <w:r>
        <w:rPr>
          <w:rFonts w:hint="eastAsia" w:ascii="宋体" w:hAnsi="宋体" w:eastAsia="宋体" w:cs="宋体"/>
          <w:sz w:val="24"/>
          <w:lang w:val="zh-CN"/>
        </w:rPr>
        <w:t>学时计1学分，其中必修课程</w:t>
      </w:r>
      <w:r>
        <w:rPr>
          <w:rFonts w:hint="eastAsia" w:ascii="宋体" w:hAnsi="宋体" w:eastAsia="宋体" w:cs="宋体"/>
          <w:sz w:val="24"/>
        </w:rPr>
        <w:t>80</w:t>
      </w:r>
      <w:r>
        <w:rPr>
          <w:rFonts w:hint="eastAsia" w:ascii="宋体" w:hAnsi="宋体" w:eastAsia="宋体" w:cs="宋体"/>
          <w:sz w:val="24"/>
          <w:lang w:val="zh-CN"/>
        </w:rPr>
        <w:t>.5学分，选修课</w:t>
      </w:r>
      <w:r>
        <w:rPr>
          <w:rFonts w:hint="eastAsia" w:ascii="宋体" w:hAnsi="宋体" w:eastAsia="宋体" w:cs="宋体"/>
          <w:sz w:val="24"/>
        </w:rPr>
        <w:t>17</w:t>
      </w:r>
      <w:r>
        <w:rPr>
          <w:rFonts w:hint="eastAsia" w:ascii="宋体" w:hAnsi="宋体" w:eastAsia="宋体" w:cs="宋体"/>
          <w:sz w:val="24"/>
          <w:lang w:val="zh-CN"/>
        </w:rPr>
        <w:t>.0学分，毕业实习一学年安排</w:t>
      </w:r>
      <w:r>
        <w:rPr>
          <w:rFonts w:hint="eastAsia" w:ascii="宋体" w:hAnsi="宋体" w:eastAsia="宋体" w:cs="宋体"/>
          <w:sz w:val="24"/>
        </w:rPr>
        <w:t>40</w:t>
      </w:r>
      <w:r>
        <w:rPr>
          <w:rFonts w:hint="eastAsia" w:ascii="宋体" w:hAnsi="宋体" w:eastAsia="宋体" w:cs="宋体"/>
          <w:sz w:val="24"/>
          <w:lang w:val="zh-CN"/>
        </w:rPr>
        <w:t>周实习，一周1学分，共</w:t>
      </w:r>
      <w:r>
        <w:rPr>
          <w:rFonts w:hint="eastAsia" w:ascii="宋体" w:hAnsi="宋体" w:eastAsia="宋体" w:cs="宋体"/>
          <w:sz w:val="24"/>
        </w:rPr>
        <w:t>40</w:t>
      </w:r>
      <w:r>
        <w:rPr>
          <w:rFonts w:hint="eastAsia" w:ascii="宋体" w:hAnsi="宋体" w:eastAsia="宋体" w:cs="宋体"/>
          <w:sz w:val="24"/>
          <w:lang w:val="zh-CN"/>
        </w:rPr>
        <w:t>学分。</w:t>
      </w:r>
    </w:p>
    <w:p>
      <w:pPr>
        <w:adjustRightInd w:val="0"/>
        <w:snapToGrid w:val="0"/>
        <w:spacing w:line="360" w:lineRule="auto"/>
        <w:ind w:firstLine="480" w:firstLineChars="200"/>
        <w:rPr>
          <w:rFonts w:ascii="宋体" w:hAnsi="宋体" w:eastAsia="宋体" w:cs="宋体"/>
          <w:sz w:val="24"/>
        </w:rPr>
      </w:pPr>
    </w:p>
    <w:p>
      <w:pPr>
        <w:adjustRightInd w:val="0"/>
        <w:snapToGrid w:val="0"/>
        <w:spacing w:line="360" w:lineRule="auto"/>
        <w:rPr>
          <w:rFonts w:ascii="宋体" w:hAnsi="宋体" w:eastAsia="宋体" w:cs="宋体"/>
          <w:b/>
          <w:bCs/>
          <w:sz w:val="24"/>
        </w:rPr>
      </w:pPr>
      <w:r>
        <w:rPr>
          <w:rFonts w:hint="eastAsia" w:ascii="宋体" w:hAnsi="宋体" w:eastAsia="宋体" w:cs="宋体"/>
          <w:b/>
          <w:bCs/>
          <w:sz w:val="24"/>
        </w:rPr>
        <w:t>十、附录</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教学进程表及说明。</w:t>
      </w:r>
    </w:p>
    <w:p>
      <w:pPr>
        <w:adjustRightInd w:val="0"/>
        <w:snapToGrid w:val="0"/>
        <w:spacing w:line="360" w:lineRule="auto"/>
        <w:ind w:firstLine="480" w:firstLineChars="200"/>
        <w:rPr>
          <w:rFonts w:ascii="宋体" w:hAnsi="宋体" w:eastAsia="宋体" w:cs="宋体"/>
          <w:sz w:val="24"/>
        </w:rPr>
      </w:pPr>
    </w:p>
    <w:p>
      <w:pPr>
        <w:adjustRightInd w:val="0"/>
        <w:snapToGrid w:val="0"/>
        <w:spacing w:line="360" w:lineRule="auto"/>
        <w:ind w:firstLine="420" w:firstLineChars="200"/>
        <w:rPr>
          <w:rFonts w:ascii="宋体" w:hAnsi="宋体" w:eastAsia="宋体" w:cs="宋体"/>
          <w:sz w:val="24"/>
        </w:rPr>
      </w:pPr>
      <w:r>
        <w:drawing>
          <wp:anchor distT="0" distB="0" distL="114300" distR="114300" simplePos="0" relativeHeight="251659264" behindDoc="0" locked="0" layoutInCell="1" allowOverlap="1">
            <wp:simplePos x="0" y="0"/>
            <wp:positionH relativeFrom="column">
              <wp:posOffset>66675</wp:posOffset>
            </wp:positionH>
            <wp:positionV relativeFrom="page">
              <wp:posOffset>219075</wp:posOffset>
            </wp:positionV>
            <wp:extent cx="6111875" cy="9533890"/>
            <wp:effectExtent l="0" t="0" r="3175" b="1016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11875" cy="9533890"/>
                    </a:xfrm>
                    <a:prstGeom prst="rect">
                      <a:avLst/>
                    </a:prstGeom>
                    <a:noFill/>
                    <a:ln>
                      <a:noFill/>
                    </a:ln>
                  </pic:spPr>
                </pic:pic>
              </a:graphicData>
            </a:graphic>
          </wp:anchor>
        </w:drawing>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13A78"/>
    <w:rsid w:val="001C4E53"/>
    <w:rsid w:val="001F38FB"/>
    <w:rsid w:val="00513A78"/>
    <w:rsid w:val="008D6DF9"/>
    <w:rsid w:val="00BB27BF"/>
    <w:rsid w:val="00F43D19"/>
    <w:rsid w:val="00F65251"/>
    <w:rsid w:val="01522FB6"/>
    <w:rsid w:val="055E00C7"/>
    <w:rsid w:val="0639058C"/>
    <w:rsid w:val="081612C6"/>
    <w:rsid w:val="08DB2F92"/>
    <w:rsid w:val="09CC31F2"/>
    <w:rsid w:val="09DA0D22"/>
    <w:rsid w:val="0C325674"/>
    <w:rsid w:val="0D3B2936"/>
    <w:rsid w:val="0E487C09"/>
    <w:rsid w:val="102C18A8"/>
    <w:rsid w:val="1AF83F01"/>
    <w:rsid w:val="1F706F47"/>
    <w:rsid w:val="226858CB"/>
    <w:rsid w:val="22830E4E"/>
    <w:rsid w:val="228B703A"/>
    <w:rsid w:val="22FC0CFE"/>
    <w:rsid w:val="23862801"/>
    <w:rsid w:val="25A1546F"/>
    <w:rsid w:val="26AA58DB"/>
    <w:rsid w:val="271507D7"/>
    <w:rsid w:val="29B527D1"/>
    <w:rsid w:val="2E907156"/>
    <w:rsid w:val="30213446"/>
    <w:rsid w:val="3597647A"/>
    <w:rsid w:val="384B4DB2"/>
    <w:rsid w:val="3CA62736"/>
    <w:rsid w:val="3EFD49EF"/>
    <w:rsid w:val="3FF15EF6"/>
    <w:rsid w:val="41AE7F45"/>
    <w:rsid w:val="49133CFF"/>
    <w:rsid w:val="491A5F74"/>
    <w:rsid w:val="49720EB4"/>
    <w:rsid w:val="526108F0"/>
    <w:rsid w:val="526924E6"/>
    <w:rsid w:val="528C00F9"/>
    <w:rsid w:val="583535A1"/>
    <w:rsid w:val="58FF2731"/>
    <w:rsid w:val="5A3D1E85"/>
    <w:rsid w:val="5AB9651C"/>
    <w:rsid w:val="5E243833"/>
    <w:rsid w:val="5F2C35C9"/>
    <w:rsid w:val="5FF46DBD"/>
    <w:rsid w:val="60D073EA"/>
    <w:rsid w:val="63BA64FA"/>
    <w:rsid w:val="63DC3418"/>
    <w:rsid w:val="64750597"/>
    <w:rsid w:val="64877C27"/>
    <w:rsid w:val="66941E8C"/>
    <w:rsid w:val="6AD9304D"/>
    <w:rsid w:val="6BE36B4C"/>
    <w:rsid w:val="6EE837EC"/>
    <w:rsid w:val="71326DF8"/>
    <w:rsid w:val="729108FD"/>
    <w:rsid w:val="734E3440"/>
    <w:rsid w:val="739749FF"/>
    <w:rsid w:val="75E24FD8"/>
    <w:rsid w:val="7B980600"/>
    <w:rsid w:val="7D366D8C"/>
    <w:rsid w:val="7D93272E"/>
    <w:rsid w:val="7F141B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keepNext/>
      <w:keepLines/>
      <w:ind w:firstLine="482"/>
      <w:outlineLvl w:val="0"/>
    </w:pPr>
    <w:rPr>
      <w:b/>
      <w:bCs/>
      <w:kern w:val="44"/>
      <w:szCs w:val="44"/>
    </w:rPr>
  </w:style>
  <w:style w:type="paragraph" w:styleId="3">
    <w:name w:val="heading 2"/>
    <w:basedOn w:val="1"/>
    <w:next w:val="1"/>
    <w:qFormat/>
    <w:uiPriority w:val="0"/>
    <w:pPr>
      <w:keepNext/>
      <w:keepLines/>
      <w:outlineLvl w:val="1"/>
    </w:pPr>
    <w:rPr>
      <w:b/>
      <w:bCs/>
      <w:szCs w:val="32"/>
    </w:rPr>
  </w:style>
  <w:style w:type="paragraph" w:styleId="4">
    <w:name w:val="heading 3"/>
    <w:basedOn w:val="1"/>
    <w:next w:val="1"/>
    <w:qFormat/>
    <w:uiPriority w:val="0"/>
    <w:pPr>
      <w:keepNext/>
      <w:keepLines/>
      <w:outlineLvl w:val="2"/>
    </w:pPr>
    <w:rPr>
      <w:b/>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2"/>
    <w:uiPriority w:val="0"/>
    <w:rPr>
      <w:sz w:val="18"/>
      <w:szCs w:val="18"/>
    </w:rPr>
  </w:style>
  <w:style w:type="paragraph" w:styleId="6">
    <w:name w:val="footer"/>
    <w:basedOn w:val="1"/>
    <w:link w:val="14"/>
    <w:uiPriority w:val="0"/>
    <w:pPr>
      <w:tabs>
        <w:tab w:val="center" w:pos="4153"/>
        <w:tab w:val="right" w:pos="8306"/>
      </w:tabs>
      <w:snapToGrid w:val="0"/>
      <w:jc w:val="left"/>
    </w:pPr>
    <w:rPr>
      <w:sz w:val="18"/>
      <w:szCs w:val="18"/>
    </w:rPr>
  </w:style>
  <w:style w:type="paragraph" w:styleId="7">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99"/>
    <w:pPr>
      <w:ind w:firstLine="420" w:firstLineChars="200"/>
    </w:pPr>
  </w:style>
  <w:style w:type="paragraph" w:customStyle="1" w:styleId="11">
    <w:name w:val="正文2"/>
    <w:basedOn w:val="1"/>
    <w:qFormat/>
    <w:uiPriority w:val="0"/>
  </w:style>
  <w:style w:type="character" w:customStyle="1" w:styleId="12">
    <w:name w:val="批注框文本 Char"/>
    <w:basedOn w:val="9"/>
    <w:link w:val="5"/>
    <w:qFormat/>
    <w:uiPriority w:val="0"/>
    <w:rPr>
      <w:rFonts w:asciiTheme="minorHAnsi" w:hAnsiTheme="minorHAnsi" w:eastAsiaTheme="minorEastAsia" w:cstheme="minorBidi"/>
      <w:kern w:val="2"/>
      <w:sz w:val="18"/>
      <w:szCs w:val="18"/>
    </w:rPr>
  </w:style>
  <w:style w:type="character" w:customStyle="1" w:styleId="13">
    <w:name w:val="页眉 Char"/>
    <w:basedOn w:val="9"/>
    <w:link w:val="7"/>
    <w:qFormat/>
    <w:uiPriority w:val="0"/>
    <w:rPr>
      <w:rFonts w:asciiTheme="minorHAnsi" w:hAnsiTheme="minorHAnsi" w:eastAsiaTheme="minorEastAsia" w:cstheme="minorBidi"/>
      <w:kern w:val="2"/>
      <w:sz w:val="18"/>
      <w:szCs w:val="18"/>
    </w:rPr>
  </w:style>
  <w:style w:type="character" w:customStyle="1" w:styleId="14">
    <w:name w:val="页脚 Char"/>
    <w:basedOn w:val="9"/>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17</Pages>
  <Words>1988</Words>
  <Characters>11334</Characters>
  <Lines>94</Lines>
  <Paragraphs>26</Paragraphs>
  <TotalTime>0</TotalTime>
  <ScaleCrop>false</ScaleCrop>
  <LinksUpToDate>false</LinksUpToDate>
  <CharactersWithSpaces>13296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2021-04-08T03:23:00Z</dcterms:created>
  <dc:creator>Administrator</dc:creator>
  <cp:lastModifiedBy>Czy.</cp:lastModifiedBy>
  <dcterms:modified xsi:type="dcterms:W3CDTF">2021-07-14T07:51:34Z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D8F08CAB4904462785457786E036ABB0</vt:lpwstr>
  </property>
</Properties>
</file>